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200"/>
        <w:jc w:val="center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44"/>
          <w:szCs w:val="44"/>
        </w:rPr>
        <w:t xml:space="preserve">灯塔案例｜诺贝丽斯尤里克斯维尔</w:t>
      </w:r>
    </w:p>
    <w:p>
      <w:pPr>
        <w:spacing w:after="100"/>
      </w:pPr>
    </w:p>
    <w:p>
      <w:pPr>
        <w:spacing w:after="60"/>
        <w:ind w:left="567"/>
      </w:pPr>
      <w:r>
        <w:rPr>
          <w:rFonts w:ascii="Microsoft YaHei" w:cs="Microsoft YaHei" w:eastAsia="Microsoft YaHei" w:hAnsi="Microsoft YaHei"/>
          <w:b/>
          <w:bCs/>
          <w:i/>
          <w:iCs/>
          <w:color w:val="1A56DB"/>
          <w:sz w:val="26"/>
          <w:szCs w:val="26"/>
        </w:rPr>
        <w:t xml:space="preserve">全球最大铝回收商诺贝丽斯，以97%再生铝含量、GHG强度仅1.1tCO₂/t（行业均值5.8t），率先实现铝加工全循环闭环，成为美国首个铝业可持续灯塔工厂。</w:t>
      </w:r>
    </w:p>
    <w:p>
      <w:pPr>
        <w:spacing w:after="200"/>
        <w:ind w:left="567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64748B"/>
          <w:sz w:val="20"/>
          <w:szCs w:val="20"/>
        </w:rPr>
        <w:t xml:space="preserve">—— 诺贝丽斯尤里克斯维尔 · 第13批 · 可持续灯塔 · 2025年01月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企业名片</w:t>
      </w:r>
    </w:p>
    <w:p>
      <w:pPr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2E7D32"/>
          <w:sz w:val="28"/>
          <w:szCs w:val="28"/>
        </w:rPr>
        <w:t xml:space="preserve">🔖 灯塔编码：19413US02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企业名称：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诺贝丽斯尤里克斯维尔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工厂所在地：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美国 · 美国 · 俄亥俄州尤里克斯维尔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所属行业：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 · 有色金属加工（有色金属压延加工） (GBT )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灯塔类型：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可持续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批次/发布日期：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第13批 · 2025年01月</w:t>
      </w:r>
    </w:p>
    <w:p>
      <w:pPr>
        <w:spacing w:after="100"/>
      </w:pP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3大核心案例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? 1 强化分拣分离循环最大化 核心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⚠️ 痛点：铝废料来源复杂、合金成分混杂（2xxx~8xxx系列），传统人工分拣难以保证纯度，制约再生铝含量提升至97%目标。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💡 方案：引入X射线透射（XRT）+ 动态LIBS激光光谱 + AI深度学习视觉三级组合分拣系统，实现铝废料按合金牌号自动分选。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Step 1 — XRT预分拣：部署X射线透射设备，按密度差异将混合废料中的重金属与非铝物质剔除，提升进料纯度基线。 Step 2 — 深度学习视觉识别：基于GAINnext™平台训练合金外观分类模型，自动识别5xxx/6xxx等高价值锻造铝合金。 Step 3 — 动态LIBS精确分选：采用AUTOSORT™ PULSE激光诱导击穿光谱，逐件分析元素成分，实现ppm级合金牌号分离。 Step 4 — 闭环质检反馈：分选后端在线成分检测，实时回传数据优化前端模型参数，持续提升分离纯度。 Step 5 — 全链路集成：将分拣系统与熔炼投料MES打通，按炉次需求自动匹配再生原料配比。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01.03.02 | 05.01.01 | 01.01.05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采用TOMRA XRT透射X射线技术，基于材料原子序数差异区分铝与重金属，为后续精细分选提供高纯度进料基线。处理量可达每小时数十吨。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基于卷积神经网络训练的合金识别模型，可实时分辨不同铝废料的外观特征（颜色、纹理、断面），将5xxx和6xxx锻造铝从混合料中精准提取。测试数据显示，从100% Twitch复杂混合料中可回收40%高质量锻造铝。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AUTOSORT PULSE采用激光诱导击穿光谱技术，对每件废料表面进行微区激发并分析发射光谱，实现铝、镁、硅、铜等元素的ppm级定量检测，按合金牌号精确分流。</w:t>
      </w:r>
    </w:p>
    <w:p>
      <w:pPr>
        <w:spacing w:after="6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关键数据：📊 核心成效：废料处理总量↑5%，分选后再生原料可支撑3105合金实现97%再生铝含量，远超市面平均30-50%的再生料占比。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? 2 柔性设备设计提升再生含量 核心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⚠️ 痛点：再生铝原料批次间成分波动大，传统固定工艺参数无法适应多变原料，易导致成品性能不达标或过度精炼增加能耗。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💡 方案：改造熔炼-铸造-轧制产线为柔性设备，建立原料-工艺-品质动态调控模型，实现不同再生料配比下的自适应生产。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Step 1 — 熔炼炉动态调控：部署在线成分分析仪，实时监测铝液元素含量，自动调节精炼剂添加量与精炼时间。 Step 2 — 铸造工艺自适应：根据来料合金成分，AI模型推荐最佳铸造温度、冷却速率和晶粒细化剂配比。 Step 3 — 轧制参数智能匹配：基于3105合金目标性能，动态调整轧制道次压下量和热处理工艺曲线。 Step 4 — 全产线数字孪生：建立虚拟产线模型，提前仿真不同再生料配比的工艺窗口，降低试错成本。 Step 5 — 品质在线闭环：轧制成品力学性能在线检测，结果自动反馈至前端模型迭代优化。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03.03.01 | 03.01.01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基于实时成分检测与历史工艺数据的机器学习模型，为每批次再生原料推荐最优熔炼和轧制参数，使产线在原料成分波动±15%范围内仍保持成品一致性。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构建熔炼-铸造-轧制全流程数字孪生模型，在新原料配比投入前模拟工艺窗口，将试错次数降低80%，新品导入周期缩短60%。</w:t>
      </w:r>
    </w:p>
    <w:p>
      <w:pPr>
        <w:spacing w:after="6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关键数据：📊 核心成效：原始材料（原生铝）消耗↓47%，3105合金再生铝含量稳定达到97%，产品通过GreenCircle第三方认证。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? 3 数据分析提高可再生材料含量 核心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⚠️ 痛点：上游废料供应渠道分散、品质参差，传统采购决策依赖人工经验，无法全局优化再生原料降碳与成本之间的平衡。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💡 方案：构建数字化采购平台与全生命周期碳数据分析系统，以数据驱动优化废料来源结构，最大化再生料使用比例并降低Scope3排放。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Step 1 — 供应商数字化画像：对全球废料供应商建立数字化档案，记录每批次铝废料的合金类型、含杂率、运输碳排放等指标。 Step 2 — AI采购决策引擎：基于原料价格、物流成本、碳足迹数据构建多目标优化模型，自动推荐最低总成本+最低碳排放的采购组合。 Step 3 — LCA全生命周期碳核算：部署产品碳足迹追踪系统，从废料采购到成品出厂全程核算CO₂当量，对Scope3排放实时可见。 Step 4 — 3×30目标数字化看板：建立企业级可持续仪表盘，追踪每吨产品碳强度（目标 Step 5 — 供应链协同减排：将碳排放数据共享给下游客户（建筑商、汽车厂商），协同制定减排路线图。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05.02.01 | 09.02.02 | 04.03.03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整合废料价格、物流、碳足迹多维数据，构建线性规划与机器学习混合模型，自动在成本与降碳之间求帕累托最优解，驱动采购决策从经验走向算法化。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建立从铝土矿开采（Scope3上游）到产品出厂的端到端碳足迹数字台账，采用GHG Protocol标准核算，使每批次产品的隐含碳排放可查询、可审计、可对标。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将碳强度、再生料品质等ESG指标纳入供应商评估体系，激励上游渠道提升废料分选水平，形成正向循环的绿色供应链生态。</w:t>
      </w:r>
    </w:p>
    <w:p>
      <w:pPr>
        <w:spacing w:after="6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关键数据：📊 核心成效：Scope3排放↓53%，GHG强度降至1.1tCO₂/t铝（行业均值5.8t），废料处理总量↑5%，再生铝贡献北美销量25%。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绩效改善总览</w:t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000"/>
        <w:gridCol w:w="2000"/>
        <w:gridCol w:w="4026"/>
      </w:tblGrid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2E7D32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/>
                <w:bCs/>
                <w:color w:val="FFFFFF"/>
                <w:sz w:val="21"/>
                <w:szCs w:val="21"/>
              </w:rPr>
              <w:t xml:space="preserve">指标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2E7D32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FFFFFF"/>
                <w:sz w:val="21"/>
                <w:szCs w:val="21"/>
              </w:rPr>
              <w:t xml:space="preserve">改善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2E7D32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/>
                <w:bCs/>
                <w:color w:val="FFFFFF"/>
                <w:sz w:val="21"/>
                <w:szCs w:val="21"/>
              </w:rPr>
              <w:t xml:space="preserve">技术手段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3105合金再生铝含量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+47~67pp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三级智能分拣+柔性工艺联合突破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原始材料消耗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-47%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原生铝锭需求大幅减少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Scope3碳排放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-53%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数字采购+LCA碳追踪协同减碳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GHG强度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-81%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仅为行业均值的1/5，领先全球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废料处理总量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+5%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分拣效率提升，处理能力扩大</w:t>
            </w:r>
          </w:p>
        </w:tc>
      </w:tr>
    </w:tbl>
    <w:p>
      <w:pPr>
        <w:spacing w:after="100"/>
      </w:pPr>
    </w:p>
    <w:p>
      <w:pPr>
        <w:spacing w:after="100"/>
      </w:pP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可复制性分析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🏢 企业规模 全球营收162亿美元，12,750名员工 💰 投入规模 分选设备+数字化系统，预估千万美元级 ⏱️ 实施周期 3-5年（设备部署→工艺调优→全链路打通） 🎯 关键技术门槛 XRT/LIBS分选、AI视觉、LCA碳核算 👉 适合什么企业参考 有色金属冶炼及压延加工企业、金属回收再生企业、有降碳目标的材料制造商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技术全景图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🗺️ 技术全景图 01 智能装备 ✔️ 02 工业软件 ✔️ 03 智能工厂 ✔️ 04 智慧供应链 ✔️ 05 智能赋能技术 ✔️ 06 智能制造新模式 · 07 工业网络 · 08 系统安全 · 09 绿色可持续 ✔️ 已覆盖（6/9） 未涉及 WEF重点技术覆盖率：78%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行业对标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🏭 行业对标视角 国标分类路径：制造业 → 有色金属冶炼和压延加工业 → 有色金属压延加工（GB/T 3232） 📌 第13批内含5座可持续灯塔，诺贝丽斯是唯一的铝加工企业，与钢铁企业（纽柯）同属金属材料循环经济赛道 纽柯钢铁锡代利亚 · 黑色金属冶炼 第13批 · 可持续 · 绿色电力+废热回收 法罗里奥伦敦希思罗项目 · 建筑施工 第13批 · 可持续 · 低碳建材+数字建造 施耐德电气上海 · 输配电制造 第12批 · 端到端 · 数字化精益 💡 铝业循环经济破局者诺贝丽斯的独特之处在于其将再生铝含量从"副产品"变成"核心产品"——97%再生铝含量不仅远超行业平均30-50%，更通过GreenCircle第三方认证建立了可验证的信任壁垒。与钢铁行业依赖电弧炉+绿电不同，铝回收的难点在于合金分离，诺贝丽斯用XRT+LIBS+AI三级分选解决了这一行业级难题。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互动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💬 互动 有色金属行业数字化转型，你觉得最难突破的环节是设备还是数据？ 👇 欢迎在评论区分享你的经验与困惑 📊 灯塔名录 回复【名录】获取完整名单 🔍 灯塔案例 回复【分析+企业名】 🦞 灯塔虾评 回复【自测】评估差距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64748B"/>
          <w:sz w:val="21"/>
          <w:szCs w:val="21"/>
        </w:rPr>
        <w:t xml:space="preserve">📥 下载此案例（多种格式） 🌐 网页 📽️ 幻灯片 📊 PPTX 📄 DOCX 🗂️ JSON 📝 MD 📋 CSV</w:t>
      </w:r>
    </w:p>
    <w:p>
      <w:pPr>
        <w:spacing w:after="60" w:before="100"/>
        <w:jc w:val="center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94A3B8"/>
          <w:sz w:val="18"/>
          <w:szCs w:val="18"/>
        </w:rPr>
        <w:t xml:space="preserve">❤️ 点「在看」，让更多同行看到 基于WEF官方数据整理 老陈说灯塔 · 每周一个灯塔工厂深度拆解</w:t>
      </w:r>
    </w:p>
    <w:p>
      <w:pPr>
        <w:spacing w:after="100"/>
      </w:pPr>
    </w:p>
    <w:p>
      <w:pPr>
        <w:spacing w:after="60" w:before="200"/>
        <w:jc w:val="center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94A3B8"/>
          <w:sz w:val="18"/>
          <w:szCs w:val="18"/>
        </w:rPr>
        <w:t xml:space="preserve">数据来源：世界经济论坛（WEF）全球灯塔网络 · 公开报道</w:t>
      </w:r>
    </w:p>
    <w:p>
      <w:pPr>
        <w:spacing w:after="100"/>
        <w:jc w:val="center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94A3B8"/>
          <w:sz w:val="18"/>
          <w:szCs w:val="18"/>
        </w:rPr>
        <w:t xml:space="preserve">老陈说灯塔 · 每周一个灯塔工厂深度拆解</w:t>
      </w:r>
    </w:p>
    <w:sectPr>
      <w:pgSz w:w="11906" w:h="16838" w:orient="portrait"/>
      <w:pgMar w:top="1134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Microsoft YaHei" w:cs="Microsoft YaHei" w:eastAsia="Microsoft YaHei" w:hAnsi="Microsoft YaHei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Normal">
    <w:name w:val="Normal"/>
    <w:rPr>
      <w:rFonts w:ascii="Microsoft YaHei" w:cs="Microsoft YaHei" w:eastAsia="Microsoft YaHei" w:hAnsi="Microsoft YaHei"/>
      <w:sz w:val="22"/>
      <w:szCs w:val="22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2026-08-05T14:16:35.130Z</dcterms:created>
  <dcterms:modified xsi:type="dcterms:W3CDTF">2026-08-05T14:16:35.139Z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