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00"/>
        <w:jc w:val="center"/>
      </w:pPr>
      <w:r>
        <w:rPr>
          <w:rFonts w:ascii="Microsoft YaHei" w:cs="Microsoft YaHei" w:eastAsia="Microsoft YaHei" w:hAnsi="Microsoft YaHei"/>
          <w:b/>
          <w:bCs/>
          <w:i w:val="false"/>
          <w:iCs w:val="false"/>
          <w:color w:val="1E293B"/>
          <w:sz w:val="44"/>
          <w:szCs w:val="44"/>
        </w:rPr>
        <w:t xml:space="preserve">灯塔案例｜梅特勒托利多</w:t>
      </w:r>
    </w:p>
    <w:p>
      <w:pPr>
        <w:spacing w:after="100"/>
      </w:pPr>
    </w:p>
    <w:p>
      <w:pPr>
        <w:spacing w:after="60"/>
        <w:ind w:left="567"/>
      </w:pPr>
      <w:r>
        <w:rPr>
          <w:rFonts w:ascii="Microsoft YaHei" w:cs="Microsoft YaHei" w:eastAsia="Microsoft YaHei" w:hAnsi="Microsoft YaHei"/>
          <w:b/>
          <w:bCs/>
          <w:i/>
          <w:iCs/>
          <w:color w:val="1A56DB"/>
          <w:sz w:val="26"/>
          <w:szCs w:val="26"/>
        </w:rPr>
        <w:t xml:space="preserve">34.8%的订单是单件定制，却能做到98.4%准时交付——梅特勒托利多常州工厂用49项4IR技术用例，在碎片化市场中打造了"以客户为中心"的敏捷制造范式。</w:t>
      </w:r>
    </w:p>
    <w:p>
      <w:pPr>
        <w:spacing w:after="200"/>
        <w:ind w:left="567"/>
      </w:pPr>
      <w:r>
        <w:rPr>
          <w:rFonts w:ascii="Microsoft YaHei" w:cs="Microsoft YaHei" w:eastAsia="Microsoft YaHei" w:hAnsi="Microsoft YaHei"/>
          <w:b w:val="false"/>
          <w:bCs w:val="false"/>
          <w:i w:val="false"/>
          <w:iCs w:val="false"/>
          <w:color w:val="64748B"/>
          <w:sz w:val="20"/>
          <w:szCs w:val="20"/>
        </w:rPr>
        <w:t xml:space="preserve">—— 梅特勒托利多 · 第14批 · 客户至上灯塔 · 2025年09月</w:t>
      </w:r>
    </w:p>
    <w:p>
      <w:pPr>
        <w:pStyle w:val="Heading2"/>
        <w:spacing w:after="100"/>
      </w:pPr>
      <w:r>
        <w:rPr>
          <w:rFonts w:ascii="Microsoft YaHei" w:cs="Microsoft YaHei" w:eastAsia="Microsoft YaHei" w:hAnsi="Microsoft YaHei"/>
          <w:b/>
          <w:bCs/>
          <w:i w:val="false"/>
          <w:iCs w:val="false"/>
          <w:color w:val="1A56DB"/>
          <w:sz w:val="30"/>
          <w:szCs w:val="30"/>
        </w:rPr>
        <w:t xml:space="preserve">企业名片</w:t>
      </w:r>
    </w:p>
    <w:p>
      <w:pPr>
        <w:spacing w:after="100"/>
      </w:pPr>
      <w:r>
        <w:rPr>
          <w:rFonts w:ascii="Microsoft YaHei" w:cs="Microsoft YaHei" w:eastAsia="Microsoft YaHei" w:hAnsi="Microsoft YaHei"/>
          <w:b/>
          <w:bCs/>
          <w:i w:val="false"/>
          <w:iCs w:val="false"/>
          <w:color w:val="2E7D32"/>
          <w:sz w:val="28"/>
          <w:szCs w:val="28"/>
        </w:rPr>
        <w:t xml:space="preserve">🔖 灯塔编码：21214CN02</w:t>
      </w:r>
    </w:p>
    <w:p>
      <w:pPr>
        <w:spacing w:after="80"/>
      </w:pPr>
      <w:r>
        <w:rPr>
          <w:rFonts w:ascii="Microsoft YaHei" w:cs="Microsoft YaHei" w:eastAsia="Microsoft YaHei" w:hAnsi="Microsoft YaHei"/>
          <w:b/>
          <w:bCs/>
          <w:i w:val="false"/>
          <w:iCs w:val="false"/>
          <w:color w:val="1E293B"/>
          <w:sz w:val="22"/>
          <w:szCs w:val="22"/>
        </w:rPr>
        <w:t xml:space="preserve">企业名称：</w:t>
      </w:r>
      <w:r>
        <w:rPr>
          <w:rFonts w:ascii="Microsoft YaHei" w:cs="Microsoft YaHei" w:eastAsia="Microsoft YaHei" w:hAnsi="Microsoft YaHei"/>
          <w:b w:val="false"/>
          <w:bCs w:val="false"/>
          <w:i w:val="false"/>
          <w:iCs w:val="false"/>
          <w:color w:val="1E293B"/>
          <w:sz w:val="22"/>
          <w:szCs w:val="22"/>
        </w:rPr>
        <w:t xml:space="preserve">梅特勒托利多</w:t>
      </w:r>
    </w:p>
    <w:p>
      <w:pPr>
        <w:spacing w:after="80"/>
      </w:pPr>
      <w:r>
        <w:rPr>
          <w:rFonts w:ascii="Microsoft YaHei" w:cs="Microsoft YaHei" w:eastAsia="Microsoft YaHei" w:hAnsi="Microsoft YaHei"/>
          <w:b/>
          <w:bCs/>
          <w:i w:val="false"/>
          <w:iCs w:val="false"/>
          <w:color w:val="1E293B"/>
          <w:sz w:val="22"/>
          <w:szCs w:val="22"/>
        </w:rPr>
        <w:t xml:space="preserve">工厂所在地：</w:t>
      </w:r>
      <w:r>
        <w:rPr>
          <w:rFonts w:ascii="Microsoft YaHei" w:cs="Microsoft YaHei" w:eastAsia="Microsoft YaHei" w:hAnsi="Microsoft YaHei"/>
          <w:b w:val="false"/>
          <w:bCs w:val="false"/>
          <w:i w:val="false"/>
          <w:iCs w:val="false"/>
          <w:color w:val="1E293B"/>
          <w:sz w:val="22"/>
          <w:szCs w:val="22"/>
        </w:rPr>
        <w:t xml:space="preserve">中国 · 中国 · 常州</w:t>
      </w:r>
    </w:p>
    <w:p>
      <w:pPr>
        <w:spacing w:after="80"/>
      </w:pPr>
      <w:r>
        <w:rPr>
          <w:rFonts w:ascii="Microsoft YaHei" w:cs="Microsoft YaHei" w:eastAsia="Microsoft YaHei" w:hAnsi="Microsoft YaHei"/>
          <w:b/>
          <w:bCs/>
          <w:i w:val="false"/>
          <w:iCs w:val="false"/>
          <w:color w:val="1E293B"/>
          <w:sz w:val="22"/>
          <w:szCs w:val="22"/>
        </w:rPr>
        <w:t xml:space="preserve">所属行业：</w:t>
      </w:r>
      <w:r>
        <w:rPr>
          <w:rFonts w:ascii="Microsoft YaHei" w:cs="Microsoft YaHei" w:eastAsia="Microsoft YaHei" w:hAnsi="Microsoft YaHei"/>
          <w:b w:val="false"/>
          <w:bCs w:val="false"/>
          <w:i w:val="false"/>
          <w:iCs w:val="false"/>
          <w:color w:val="1E293B"/>
          <w:sz w:val="22"/>
          <w:szCs w:val="22"/>
        </w:rPr>
        <w:t xml:space="preserve"> · 先进工业 · 仪器仪表制造 (GBT )</w:t>
      </w:r>
    </w:p>
    <w:p>
      <w:pPr>
        <w:spacing w:after="80"/>
      </w:pPr>
      <w:r>
        <w:rPr>
          <w:rFonts w:ascii="Microsoft YaHei" w:cs="Microsoft YaHei" w:eastAsia="Microsoft YaHei" w:hAnsi="Microsoft YaHei"/>
          <w:b/>
          <w:bCs/>
          <w:i w:val="false"/>
          <w:iCs w:val="false"/>
          <w:color w:val="1E293B"/>
          <w:sz w:val="22"/>
          <w:szCs w:val="22"/>
        </w:rPr>
        <w:t xml:space="preserve">灯塔类型：</w:t>
      </w:r>
      <w:r>
        <w:rPr>
          <w:rFonts w:ascii="Microsoft YaHei" w:cs="Microsoft YaHei" w:eastAsia="Microsoft YaHei" w:hAnsi="Microsoft YaHei"/>
          <w:b w:val="false"/>
          <w:bCs w:val="false"/>
          <w:i w:val="false"/>
          <w:iCs w:val="false"/>
          <w:color w:val="1E293B"/>
          <w:sz w:val="22"/>
          <w:szCs w:val="22"/>
        </w:rPr>
        <w:t xml:space="preserve">客户至上</w:t>
      </w:r>
    </w:p>
    <w:p>
      <w:pPr>
        <w:spacing w:after="80"/>
      </w:pPr>
      <w:r>
        <w:rPr>
          <w:rFonts w:ascii="Microsoft YaHei" w:cs="Microsoft YaHei" w:eastAsia="Microsoft YaHei" w:hAnsi="Microsoft YaHei"/>
          <w:b/>
          <w:bCs/>
          <w:i w:val="false"/>
          <w:iCs w:val="false"/>
          <w:color w:val="1E293B"/>
          <w:sz w:val="22"/>
          <w:szCs w:val="22"/>
        </w:rPr>
        <w:t xml:space="preserve">批次/发布日期：</w:t>
      </w:r>
      <w:r>
        <w:rPr>
          <w:rFonts w:ascii="Microsoft YaHei" w:cs="Microsoft YaHei" w:eastAsia="Microsoft YaHei" w:hAnsi="Microsoft YaHei"/>
          <w:b w:val="false"/>
          <w:bCs w:val="false"/>
          <w:i w:val="false"/>
          <w:iCs w:val="false"/>
          <w:color w:val="1E293B"/>
          <w:sz w:val="22"/>
          <w:szCs w:val="22"/>
        </w:rPr>
        <w:t xml:space="preserve">第14批 · 2025年09月</w:t>
      </w:r>
    </w:p>
    <w:p>
      <w:pPr>
        <w:spacing w:after="100"/>
      </w:pPr>
    </w:p>
    <w:p>
      <w:pPr>
        <w:pStyle w:val="Heading2"/>
        <w:spacing w:after="100"/>
      </w:pPr>
      <w:r>
        <w:rPr>
          <w:rFonts w:ascii="Microsoft YaHei" w:cs="Microsoft YaHei" w:eastAsia="Microsoft YaHei" w:hAnsi="Microsoft YaHei"/>
          <w:b/>
          <w:bCs/>
          <w:i w:val="false"/>
          <w:iCs w:val="false"/>
          <w:color w:val="1A56DB"/>
          <w:sz w:val="30"/>
          <w:szCs w:val="30"/>
        </w:rPr>
        <w:t xml:space="preserve">3大核心案例</w:t>
      </w:r>
    </w:p>
    <w:p>
      <w:pPr>
        <w:pStyle w:val="Heading3"/>
        <w:spacing w:after="100"/>
      </w:pPr>
      <w:r>
        <w:rPr>
          <w:rFonts w:ascii="Microsoft YaHei" w:cs="Microsoft YaHei" w:eastAsia="Microsoft YaHei" w:hAnsi="Microsoft YaHei"/>
          <w:b/>
          <w:bCs/>
          <w:i w:val="false"/>
          <w:iCs w:val="false"/>
          <w:color w:val="1E293B"/>
          <w:sz w:val="26"/>
          <w:szCs w:val="26"/>
        </w:rPr>
        <w:t xml:space="preserve">? 1 AI加速产品配置 核心</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痛点：34.8%订单为单件定制，传统人工配置耗时长、易出错，难以满足客户对快速响应和个性化方案的期望。</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方案：以AI驱动的产品选型与配置系统，实现客户需求到产品方案的精准快速匹配</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需求结构化：将客户定制需求参数化，建立产品配置规则库与约束模型 Step 2 — AI配置引擎部署：基于历史订单数据训练AI推荐模型，实现客户需求到BOM的自动映射 Step 3 — CPQ系统集成：将AI配置引擎与ERP/MES系统打通，实现报价-配置-排产一体化 Step 4 — 持续学习优化：通过用户反馈闭环持续优化推荐准确率，逐步覆盖全部产品线</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05.01.01 | 02.01.04</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利用自然语言处理解析客户需求文本，结合知识图谱构建产品配置约束模型，通过强化学习在数千种配置组合中自动求解最优方案，将单件订单配置时间从数小时压缩至分钟级。</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将AI配置结果通过数字主线实时同步至PLM、ERP与MES系统，实现"配置即订单、订单即生产"的端到端闭环，消除人工传递造成的延误与差错。</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核心成效：准时交付率达98.4%，客户净推荐值(NPS)攀升至84.9分</w:t>
      </w:r>
    </w:p>
    <w:p>
      <w:pPr>
        <w:pStyle w:val="Heading3"/>
        <w:spacing w:after="100"/>
      </w:pPr>
      <w:r>
        <w:rPr>
          <w:rFonts w:ascii="Microsoft YaHei" w:cs="Microsoft YaHei" w:eastAsia="Microsoft YaHei" w:hAnsi="Microsoft YaHei"/>
          <w:b/>
          <w:bCs/>
          <w:i w:val="false"/>
          <w:iCs w:val="false"/>
          <w:color w:val="1E293B"/>
          <w:sz w:val="26"/>
          <w:szCs w:val="26"/>
        </w:rPr>
        <w:t xml:space="preserve">? 2 可重构模块化集群工作站 核心</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痛点：产品种类超2,000种，传统固定产线换线耗时长、柔性不足，无法高效应对多品种小批量定制化生产。</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方案：以可重构模块化集群工作站打造灵活适配多品类混线生产的柔性制造体系</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工作站模块化设计：将产线拆解为独立功能模块（装配/测试/校准），模块间采用标准化接口 Step 2 — 快速换线能力建设：电路板换线7-10分钟达成物理极限，2,000种仪表换线1分钟完成 Step 3 — 智能调度系统部署：基于实时订单需求动态编排工作站组合，自动分配物料与人员 Step 4 — 数字孪生仿真优化：在新品导入前进行虚拟换线仿真，提前验证工作站配置方案</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03.02.02 | 01.02.04</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通过MES与APS系统联动，根据实时订单优先级、物料齐套率、设备状态等多维约束，毫秒级完成工作站集群的动态编排，使不同类型产品的无缝切换成为常态。</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集群工作站采用统一的电气与机械接口标准，各功能模块支持热插拔式配置。工人通过HMI触摸屏即可完成换线操作，无需专业人员到场，大幅降低换线技能门槛。</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核心成效：交付周期缩短22%，支持2,000+种产品规格的敏捷混线生产</w:t>
      </w:r>
    </w:p>
    <w:p>
      <w:pPr>
        <w:pStyle w:val="Heading3"/>
        <w:spacing w:after="100"/>
      </w:pPr>
      <w:r>
        <w:rPr>
          <w:rFonts w:ascii="Microsoft YaHei" w:cs="Microsoft YaHei" w:eastAsia="Microsoft YaHei" w:hAnsi="Microsoft YaHei"/>
          <w:b/>
          <w:bCs/>
          <w:i w:val="false"/>
          <w:iCs w:val="false"/>
          <w:color w:val="1E293B"/>
          <w:sz w:val="26"/>
          <w:szCs w:val="26"/>
        </w:rPr>
        <w:t xml:space="preserve">? 3 ML自动检测焊接缺陷+闭环调整 核心</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痛点：精密仪器焊接质量直接影响产品可靠性与客户信任，人工目检效率低、漏检率高，且无法实时反馈调优工艺参数。</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方案：以机器学习驱动焊接缺陷自动检测与工艺参数闭环调整，实现零缺陷品控</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视觉检测系统部署：在焊接工位安装高分辨率工业相机，采集焊接过程及成品图像数据 Step 2 — ML缺陷识别模型训练：基于数十万张标注图像训练CNN模型，可识别虚焊、气孔、裂纹等10+类缺陷 Step 3 — 闭环反馈控制：检测结果实时回传焊接控制器，自动调节电流、速度、压力等参数 Step 4 — 质量追溯与分析：建立每件产品的焊接数字档案，支持全生命周期质量追溯与工艺迭代优化</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01.03.02 | 05.03.01</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部署基于深度学习的机器视觉系统，对焊点进行360°多角度成像分析。模型在10+类焊接缺陷上的检出率达99.5%以上，远超人工目检水平，且每件检测时间不到1秒。</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ML模型不仅识别缺陷，还能根据缺陷特征反向定位根因参数（如温度偏高导致气孔概率增大），通过边缘计算节点毫秒级下发修正指令至焊接控制器，实现"检测即修复"的零延迟品质闭环。</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核心成效：产品缺陷率显著下降，支撑准时交付率98.4%与NPS 84.9的品质基础</w:t>
      </w:r>
    </w:p>
    <w:p>
      <w:pPr>
        <w:pStyle w:val="Heading2"/>
        <w:spacing w:after="100"/>
      </w:pPr>
      <w:r>
        <w:rPr>
          <w:rFonts w:ascii="Microsoft YaHei" w:cs="Microsoft YaHei" w:eastAsia="Microsoft YaHei" w:hAnsi="Microsoft YaHei"/>
          <w:b/>
          <w:bCs/>
          <w:i w:val="false"/>
          <w:iCs w:val="false"/>
          <w:color w:val="1A56DB"/>
          <w:sz w:val="30"/>
          <w:szCs w:val="30"/>
        </w:rPr>
        <w:t xml:space="preserve">绩效改善总览</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3000"/>
        <w:gridCol w:w="2000"/>
        <w:gridCol w:w="4026"/>
      </w:tblGrid>
      <w:tr>
        <w:tc>
          <w:tcPr>
            <w:tcW w:type="dxa" w:w="3000"/>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r>
              <w:rPr>
                <w:rFonts w:ascii="Microsoft YaHei" w:cs="Microsoft YaHei" w:eastAsia="Microsoft YaHei" w:hAnsi="Microsoft YaHei"/>
                <w:b/>
                <w:bCs/>
                <w:color w:val="FFFFFF"/>
                <w:sz w:val="21"/>
                <w:szCs w:val="21"/>
              </w:rPr>
              <w:t xml:space="preserve">指标</w:t>
            </w:r>
          </w:p>
        </w:tc>
        <w:tc>
          <w:tcPr>
            <w:tcW w:type="dxa" w:w="2000"/>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pPr>
              <w:jc w:val="center"/>
            </w:pPr>
            <w:r>
              <w:rPr>
                <w:rFonts w:ascii="Arial" w:cs="Arial" w:eastAsia="Arial" w:hAnsi="Arial"/>
                <w:b/>
                <w:bCs/>
                <w:color w:val="FFFFFF"/>
                <w:sz w:val="21"/>
                <w:szCs w:val="21"/>
              </w:rPr>
              <w:t xml:space="preserve">改善</w:t>
            </w:r>
          </w:p>
        </w:tc>
        <w:tc>
          <w:tcPr>
            <w:tcW w:type="dxa" w:w="4026"/>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r>
              <w:rPr>
                <w:rFonts w:ascii="Microsoft YaHei" w:cs="Microsoft YaHei" w:eastAsia="Microsoft YaHei" w:hAnsi="Microsoft YaHei"/>
                <w:b/>
                <w:bCs/>
                <w:color w:val="FFFFFF"/>
                <w:sz w:val="21"/>
                <w:szCs w:val="21"/>
              </w:rPr>
              <w:t xml:space="preserve">技术手段</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准时交付率</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行业标杆</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AI配置+柔性产线双轮驱动</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交付周期</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-22%</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可重构工作站消除换线等待</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客户净推荐值(NPS)</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卓越水平</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全链路客户体验提升</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单件定制覆盖率</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高定制化</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49项4IR用例全价值链改造</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产品换线速度</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行业极值</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模块化工作站消除刚性</w:t>
            </w:r>
          </w:p>
        </w:tc>
      </w:tr>
    </w:tbl>
    <w:p>
      <w:pPr>
        <w:spacing w:after="100"/>
      </w:pPr>
    </w:p>
    <w:p>
      <w:pPr>
        <w:spacing w:after="100"/>
      </w:pPr>
    </w:p>
    <w:p>
      <w:pPr>
        <w:pStyle w:val="Heading2"/>
        <w:spacing w:after="100"/>
      </w:pPr>
      <w:r>
        <w:rPr>
          <w:rFonts w:ascii="Microsoft YaHei" w:cs="Microsoft YaHei" w:eastAsia="Microsoft YaHei" w:hAnsi="Microsoft YaHei"/>
          <w:b/>
          <w:bCs/>
          <w:i w:val="false"/>
          <w:iCs w:val="false"/>
          <w:color w:val="1A56DB"/>
          <w:sz w:val="30"/>
          <w:szCs w:val="30"/>
        </w:rPr>
        <w:t xml:space="preserve">可复制性分析</w:t>
      </w:r>
    </w:p>
    <w:p>
      <w:pPr>
        <w:spacing w:after="80"/>
      </w:pPr>
      <w:r>
        <w:rPr>
          <w:rFonts w:ascii="Microsoft YaHei" w:cs="Microsoft YaHei" w:eastAsia="Microsoft YaHei" w:hAnsi="Microsoft YaHei"/>
          <w:b w:val="false"/>
          <w:bCs w:val="false"/>
          <w:i w:val="false"/>
          <w:iCs w:val="false"/>
          <w:color w:val="1E293B"/>
          <w:sz w:val="21"/>
          <w:szCs w:val="21"/>
        </w:rPr>
        <w:t xml:space="preserve">🏢 企业规模 全球精密仪器龙头，产品销往140+国家 💰 投入规模 49项4IR用例持续投入，预估千万级 ⏱️ 实施周期 依托数十年自动化积淀，数字化转型持续迭代 🎯 关键技术门槛 AI/ML、模块化产线设计、视觉检测 👉 适合什么企业参考 面向多品种小批量定制场景的精密制造企业——尤其是仪器仪表、医疗器械、特种设备等有高定制化需求的行业</w:t>
      </w:r>
    </w:p>
    <w:p>
      <w:pPr>
        <w:pStyle w:val="Heading2"/>
        <w:spacing w:after="100"/>
      </w:pPr>
      <w:r>
        <w:rPr>
          <w:rFonts w:ascii="Microsoft YaHei" w:cs="Microsoft YaHei" w:eastAsia="Microsoft YaHei" w:hAnsi="Microsoft YaHei"/>
          <w:b/>
          <w:bCs/>
          <w:i w:val="false"/>
          <w:iCs w:val="false"/>
          <w:color w:val="1A56DB"/>
          <w:sz w:val="30"/>
          <w:szCs w:val="30"/>
        </w:rPr>
        <w:t xml:space="preserve">技术全景图</w:t>
      </w:r>
    </w:p>
    <w:p>
      <w:pPr>
        <w:spacing w:after="80"/>
      </w:pPr>
      <w:r>
        <w:rPr>
          <w:rFonts w:ascii="Microsoft YaHei" w:cs="Microsoft YaHei" w:eastAsia="Microsoft YaHei" w:hAnsi="Microsoft YaHei"/>
          <w:b w:val="false"/>
          <w:bCs w:val="false"/>
          <w:i w:val="false"/>
          <w:iCs w:val="false"/>
          <w:color w:val="1E293B"/>
          <w:sz w:val="21"/>
          <w:szCs w:val="21"/>
        </w:rPr>
        <w:t xml:space="preserve">🗺️ 技术全景图 01 智能装备 ✔️ 02 工业软件 ✔️ 03 智能工厂 ✔️ 04 智慧供应链 · 05 智能赋能技术 ✔️ 06 智能制造新模式 ✔️ 07 工业网络 · 08 系统安全 · 09 绿色可持续 · 已覆盖（5/9） 未涉及 WEF重点技术覆盖率：56%</w:t>
      </w:r>
    </w:p>
    <w:p>
      <w:pPr>
        <w:pStyle w:val="Heading2"/>
        <w:spacing w:after="100"/>
      </w:pPr>
      <w:r>
        <w:rPr>
          <w:rFonts w:ascii="Microsoft YaHei" w:cs="Microsoft YaHei" w:eastAsia="Microsoft YaHei" w:hAnsi="Microsoft YaHei"/>
          <w:b/>
          <w:bCs/>
          <w:i w:val="false"/>
          <w:iCs w:val="false"/>
          <w:color w:val="1A56DB"/>
          <w:sz w:val="30"/>
          <w:szCs w:val="30"/>
        </w:rPr>
        <w:t xml:space="preserve">行业对标</w:t>
      </w:r>
    </w:p>
    <w:p>
      <w:pPr>
        <w:spacing w:after="80"/>
      </w:pPr>
      <w:r>
        <w:rPr>
          <w:rFonts w:ascii="Microsoft YaHei" w:cs="Microsoft YaHei" w:eastAsia="Microsoft YaHei" w:hAnsi="Microsoft YaHei"/>
          <w:b w:val="false"/>
          <w:bCs w:val="false"/>
          <w:i w:val="false"/>
          <w:iCs w:val="false"/>
          <w:color w:val="1E293B"/>
          <w:sz w:val="21"/>
          <w:szCs w:val="21"/>
        </w:rPr>
        <w:t xml:space="preserve">🏭 行业对标视角 国标分类路径：制造业 → 仪器仪表制造（GB/T 4014） 📌 第14批同行业对比：先进工业领域"客户至上"标杆 伊顿电力设备（21114CN01） 第14批 · 客户至上 · 运营效率↑50% 格罗方德半导体（21314SG03） 第14批 · 生产效率 · 60+用例 通威太阳能（21614CN06） 第14批 · 生产效率 · PCE↑12% 💡 仪器仪表行业的"客户至上"密码梅特勒托利多的独特之处在于——它不是简单地"提高效率"，而是将客户定制化需求作为数字化转型的起点。34.8%的单件订单率在仪器仪表行业并非个例，但能做到98.4%准时交付和84.9 NPS的工厂屈指可数。核心解法是：AI配置消除设计瓶颈 + 模块化工作站消除制造瓶颈 + ML闭环消除品质瓶颈，三者形成"客户需求→快速交付→品质保障"的正向飞轮。</w:t>
      </w:r>
    </w:p>
    <w:p>
      <w:pPr>
        <w:pStyle w:val="Heading2"/>
        <w:spacing w:after="100"/>
      </w:pPr>
      <w:r>
        <w:rPr>
          <w:rFonts w:ascii="Microsoft YaHei" w:cs="Microsoft YaHei" w:eastAsia="Microsoft YaHei" w:hAnsi="Microsoft YaHei"/>
          <w:b/>
          <w:bCs/>
          <w:i w:val="false"/>
          <w:iCs w:val="false"/>
          <w:color w:val="1A56DB"/>
          <w:sz w:val="30"/>
          <w:szCs w:val="30"/>
        </w:rPr>
        <w:t xml:space="preserve">互动</w:t>
      </w:r>
    </w:p>
    <w:p>
      <w:pPr>
        <w:spacing w:after="80"/>
      </w:pPr>
      <w:r>
        <w:rPr>
          <w:rFonts w:ascii="Microsoft YaHei" w:cs="Microsoft YaHei" w:eastAsia="Microsoft YaHei" w:hAnsi="Microsoft YaHei"/>
          <w:b w:val="false"/>
          <w:bCs w:val="false"/>
          <w:i w:val="false"/>
          <w:iCs w:val="false"/>
          <w:color w:val="1E293B"/>
          <w:sz w:val="21"/>
          <w:szCs w:val="21"/>
        </w:rPr>
        <w:t xml:space="preserve">💬 互动 你的企业是否也在面临"定制化需求增加但交付越来越难"的困境？ 👇 欢迎在评论区分享你的经验与困惑 📊 灯塔名录 回复【名录】获取完整名单 🔍 灯塔案例 回复【分析+企业名】 🦞 灯塔虾评 回复【自测】评估差距</w:t>
      </w:r>
    </w:p>
    <w:p>
      <w:pPr>
        <w:spacing w:after="80"/>
      </w:pPr>
      <w:r>
        <w:rPr>
          <w:rFonts w:ascii="Microsoft YaHei" w:cs="Microsoft YaHei" w:eastAsia="Microsoft YaHei" w:hAnsi="Microsoft YaHei"/>
          <w:b w:val="false"/>
          <w:bCs w:val="false"/>
          <w:i w:val="false"/>
          <w:iCs w:val="false"/>
          <w:color w:val="64748B"/>
          <w:sz w:val="21"/>
          <w:szCs w:val="21"/>
        </w:rPr>
        <w:t xml:space="preserve">📥 下载此案例（多种格式） 🌐 网页 📽️ 幻灯片 📊 PPTX 📄 DOCX 🗂️ JSON 📝 MD 📋 CSV</w:t>
      </w:r>
    </w:p>
    <w:p>
      <w:pPr>
        <w:spacing w:after="60" w:before="100"/>
        <w:jc w:val="center"/>
      </w:pPr>
      <w:r>
        <w:rPr>
          <w:rFonts w:ascii="Microsoft YaHei" w:cs="Microsoft YaHei" w:eastAsia="Microsoft YaHei" w:hAnsi="Microsoft YaHei"/>
          <w:b w:val="false"/>
          <w:bCs w:val="false"/>
          <w:i w:val="false"/>
          <w:iCs w:val="false"/>
          <w:color w:val="94A3B8"/>
          <w:sz w:val="18"/>
          <w:szCs w:val="18"/>
        </w:rPr>
        <w:t xml:space="preserve">❤️ 点「在看」，让更多同行看到 基于WEF官方数据整理 老陈说灯塔 · 每周一个灯塔工厂深度拆解</w:t>
      </w:r>
    </w:p>
    <w:p>
      <w:pPr>
        <w:spacing w:after="100"/>
      </w:pPr>
    </w:p>
    <w:p>
      <w:pPr>
        <w:spacing w:after="60" w:before="200"/>
        <w:jc w:val="center"/>
      </w:pPr>
      <w:r>
        <w:rPr>
          <w:rFonts w:ascii="Microsoft YaHei" w:cs="Microsoft YaHei" w:eastAsia="Microsoft YaHei" w:hAnsi="Microsoft YaHei"/>
          <w:b w:val="false"/>
          <w:bCs w:val="false"/>
          <w:i w:val="false"/>
          <w:iCs w:val="false"/>
          <w:color w:val="94A3B8"/>
          <w:sz w:val="18"/>
          <w:szCs w:val="18"/>
        </w:rPr>
        <w:t xml:space="preserve">数据来源：世界经济论坛（WEF）全球灯塔网络 · 公开报道</w:t>
      </w:r>
    </w:p>
    <w:p>
      <w:pPr>
        <w:spacing w:after="100"/>
        <w:jc w:val="center"/>
      </w:pPr>
      <w:r>
        <w:rPr>
          <w:rFonts w:ascii="Microsoft YaHei" w:cs="Microsoft YaHei" w:eastAsia="Microsoft YaHei" w:hAnsi="Microsoft YaHei"/>
          <w:b w:val="false"/>
          <w:bCs w:val="false"/>
          <w:i w:val="false"/>
          <w:iCs w:val="false"/>
          <w:color w:val="94A3B8"/>
          <w:sz w:val="18"/>
          <w:szCs w:val="18"/>
        </w:rPr>
        <w:t xml:space="preserve">老陈说灯塔 · 每周一个灯塔工厂深度拆解</w:t>
      </w:r>
    </w:p>
    <w:sectPr>
      <w:pgSz w:w="11906" w:h="16838" w:orient="portrait"/>
      <w:pgMar w:top="1134"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Microsoft YaHei" w:cs="Microsoft YaHei" w:eastAsia="Microsoft YaHei" w:hAnsi="Microsoft YaHe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Normal">
    <w:name w:val="Normal"/>
    <w:rPr>
      <w:rFonts w:ascii="Microsoft YaHei" w:cs="Microsoft YaHei" w:eastAsia="Microsoft YaHei" w:hAnsi="Microsoft YaHei"/>
      <w:sz w:val="22"/>
      <w:szCs w:val="22"/>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2026-07-20T11:41:44.463Z</dcterms:created>
  <dcterms:modified xsi:type="dcterms:W3CDTF">2026-07-20T11:41:44.477Z</dcterms:modified>
</cp:coreProperties>
</file>

<file path=docProps/custom.xml><?xml version="1.0" encoding="utf-8"?>
<Properties xmlns="http://schemas.openxmlformats.org/officeDocument/2006/custom-properties" xmlns:vt="http://schemas.openxmlformats.org/officeDocument/2006/docPropsVTypes"/>
</file>