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jc w:val="center"/>
      </w:pPr>
      <w:r>
        <w:rPr>
          <w:rFonts w:ascii="Microsoft YaHei" w:cs="Microsoft YaHei" w:eastAsia="Microsoft YaHei" w:hAnsi="Microsoft YaHei"/>
          <w:b/>
          <w:bCs/>
          <w:i w:val="false"/>
          <w:iCs w:val="false"/>
          <w:color w:val="1E293B"/>
          <w:sz w:val="44"/>
          <w:szCs w:val="44"/>
        </w:rPr>
        <w:t xml:space="preserve">灯塔案例｜海辰储能</w:t>
      </w:r>
    </w:p>
    <w:p>
      <w:pPr>
        <w:spacing w:after="100"/>
      </w:pPr>
    </w:p>
    <w:p>
      <w:pPr>
        <w:spacing w:after="60"/>
        <w:ind w:left="567"/>
      </w:pPr>
      <w:r>
        <w:rPr>
          <w:rFonts w:ascii="Microsoft YaHei" w:cs="Microsoft YaHei" w:eastAsia="Microsoft YaHei" w:hAnsi="Microsoft YaHei"/>
          <w:b/>
          <w:bCs/>
          <w:i/>
          <w:iCs/>
          <w:color w:val="1A56DB"/>
          <w:sz w:val="26"/>
          <w:szCs w:val="26"/>
        </w:rPr>
        <w:t xml:space="preserve">储能行业首个灯塔工厂，以40+数字化方案实现产能跃升200%+、优质品率97.6%、制造成本下降37%——一座会"思考"的电池工厂。</w:t>
      </w:r>
    </w:p>
    <w:p>
      <w:pPr>
        <w:spacing w:after="200"/>
        <w:ind w:left="567"/>
      </w:pPr>
      <w:r>
        <w:rPr>
          <w:rFonts w:ascii="Microsoft YaHei" w:cs="Microsoft YaHei" w:eastAsia="Microsoft YaHei" w:hAnsi="Microsoft YaHei"/>
          <w:b w:val="false"/>
          <w:bCs w:val="false"/>
          <w:i w:val="false"/>
          <w:iCs w:val="false"/>
          <w:color w:val="64748B"/>
          <w:sz w:val="20"/>
          <w:szCs w:val="20"/>
        </w:rPr>
        <w:t xml:space="preserve">—— 海辰储能 · 第15批 · 生产效率灯塔 · 2026年01月</w:t>
      </w:r>
    </w:p>
    <w:p>
      <w:pPr>
        <w:pStyle w:val="Heading2"/>
        <w:spacing w:after="100"/>
      </w:pPr>
      <w:r>
        <w:rPr>
          <w:rFonts w:ascii="Microsoft YaHei" w:cs="Microsoft YaHei" w:eastAsia="Microsoft YaHei" w:hAnsi="Microsoft YaHei"/>
          <w:b/>
          <w:bCs/>
          <w:i w:val="false"/>
          <w:iCs w:val="false"/>
          <w:color w:val="1A56DB"/>
          <w:sz w:val="30"/>
          <w:szCs w:val="30"/>
        </w:rPr>
        <w:t xml:space="preserve">企业名片</w:t>
      </w:r>
    </w:p>
    <w:p>
      <w:pPr>
        <w:spacing w:after="100"/>
      </w:pPr>
      <w:r>
        <w:rPr>
          <w:rFonts w:ascii="Microsoft YaHei" w:cs="Microsoft YaHei" w:eastAsia="Microsoft YaHei" w:hAnsi="Microsoft YaHei"/>
          <w:b/>
          <w:bCs/>
          <w:i w:val="false"/>
          <w:iCs w:val="false"/>
          <w:color w:val="2E7D32"/>
          <w:sz w:val="28"/>
          <w:szCs w:val="28"/>
        </w:rPr>
        <w:t xml:space="preserve">🔖 灯塔编码：23215CN09</w:t>
      </w:r>
    </w:p>
    <w:p>
      <w:pPr>
        <w:spacing w:after="80"/>
      </w:pPr>
      <w:r>
        <w:rPr>
          <w:rFonts w:ascii="Microsoft YaHei" w:cs="Microsoft YaHei" w:eastAsia="Microsoft YaHei" w:hAnsi="Microsoft YaHei"/>
          <w:b/>
          <w:bCs/>
          <w:i w:val="false"/>
          <w:iCs w:val="false"/>
          <w:color w:val="1E293B"/>
          <w:sz w:val="22"/>
          <w:szCs w:val="22"/>
        </w:rPr>
        <w:t xml:space="preserve">企业名称：</w:t>
      </w:r>
      <w:r>
        <w:rPr>
          <w:rFonts w:ascii="Microsoft YaHei" w:cs="Microsoft YaHei" w:eastAsia="Microsoft YaHei" w:hAnsi="Microsoft YaHei"/>
          <w:b w:val="false"/>
          <w:bCs w:val="false"/>
          <w:i w:val="false"/>
          <w:iCs w:val="false"/>
          <w:color w:val="1E293B"/>
          <w:sz w:val="22"/>
          <w:szCs w:val="22"/>
        </w:rPr>
        <w:t xml:space="preserve">海辰储能</w:t>
      </w:r>
    </w:p>
    <w:p>
      <w:pPr>
        <w:spacing w:after="80"/>
      </w:pPr>
      <w:r>
        <w:rPr>
          <w:rFonts w:ascii="Microsoft YaHei" w:cs="Microsoft YaHei" w:eastAsia="Microsoft YaHei" w:hAnsi="Microsoft YaHei"/>
          <w:b/>
          <w:bCs/>
          <w:i w:val="false"/>
          <w:iCs w:val="false"/>
          <w:color w:val="1E293B"/>
          <w:sz w:val="22"/>
          <w:szCs w:val="22"/>
        </w:rPr>
        <w:t xml:space="preserve">工厂所在地：</w:t>
      </w:r>
      <w:r>
        <w:rPr>
          <w:rFonts w:ascii="Microsoft YaHei" w:cs="Microsoft YaHei" w:eastAsia="Microsoft YaHei" w:hAnsi="Microsoft YaHei"/>
          <w:b w:val="false"/>
          <w:bCs w:val="false"/>
          <w:i w:val="false"/>
          <w:iCs w:val="false"/>
          <w:color w:val="1E293B"/>
          <w:sz w:val="22"/>
          <w:szCs w:val="22"/>
        </w:rPr>
        <w:t xml:space="preserve">中国 · 中国 · 重庆</w:t>
      </w:r>
    </w:p>
    <w:p>
      <w:pPr>
        <w:spacing w:after="80"/>
      </w:pPr>
      <w:r>
        <w:rPr>
          <w:rFonts w:ascii="Microsoft YaHei" w:cs="Microsoft YaHei" w:eastAsia="Microsoft YaHei" w:hAnsi="Microsoft YaHei"/>
          <w:b/>
          <w:bCs/>
          <w:i w:val="false"/>
          <w:iCs w:val="false"/>
          <w:color w:val="1E293B"/>
          <w:sz w:val="22"/>
          <w:szCs w:val="22"/>
        </w:rPr>
        <w:t xml:space="preserve">所属行业：</w:t>
      </w:r>
      <w:r>
        <w:rPr>
          <w:rFonts w:ascii="Microsoft YaHei" w:cs="Microsoft YaHei" w:eastAsia="Microsoft YaHei" w:hAnsi="Microsoft YaHei"/>
          <w:b w:val="false"/>
          <w:bCs w:val="false"/>
          <w:i w:val="false"/>
          <w:iCs w:val="false"/>
          <w:color w:val="1E293B"/>
          <w:sz w:val="22"/>
          <w:szCs w:val="22"/>
        </w:rPr>
        <w:t xml:space="preserve"> · 先进工业 · 锂电池制造 (GBT )</w:t>
      </w:r>
    </w:p>
    <w:p>
      <w:pPr>
        <w:spacing w:after="80"/>
      </w:pPr>
      <w:r>
        <w:rPr>
          <w:rFonts w:ascii="Microsoft YaHei" w:cs="Microsoft YaHei" w:eastAsia="Microsoft YaHei" w:hAnsi="Microsoft YaHei"/>
          <w:b/>
          <w:bCs/>
          <w:i w:val="false"/>
          <w:iCs w:val="false"/>
          <w:color w:val="1E293B"/>
          <w:sz w:val="22"/>
          <w:szCs w:val="22"/>
        </w:rPr>
        <w:t xml:space="preserve">灯塔类型：</w:t>
      </w:r>
      <w:r>
        <w:rPr>
          <w:rFonts w:ascii="Microsoft YaHei" w:cs="Microsoft YaHei" w:eastAsia="Microsoft YaHei" w:hAnsi="Microsoft YaHei"/>
          <w:b w:val="false"/>
          <w:bCs w:val="false"/>
          <w:i w:val="false"/>
          <w:iCs w:val="false"/>
          <w:color w:val="1E293B"/>
          <w:sz w:val="22"/>
          <w:szCs w:val="22"/>
        </w:rPr>
        <w:t xml:space="preserve">生产效率</w:t>
      </w:r>
    </w:p>
    <w:p>
      <w:pPr>
        <w:spacing w:after="80"/>
      </w:pPr>
      <w:r>
        <w:rPr>
          <w:rFonts w:ascii="Microsoft YaHei" w:cs="Microsoft YaHei" w:eastAsia="Microsoft YaHei" w:hAnsi="Microsoft YaHei"/>
          <w:b/>
          <w:bCs/>
          <w:i w:val="false"/>
          <w:iCs w:val="false"/>
          <w:color w:val="1E293B"/>
          <w:sz w:val="22"/>
          <w:szCs w:val="22"/>
        </w:rPr>
        <w:t xml:space="preserve">批次/发布日期：</w:t>
      </w:r>
      <w:r>
        <w:rPr>
          <w:rFonts w:ascii="Microsoft YaHei" w:cs="Microsoft YaHei" w:eastAsia="Microsoft YaHei" w:hAnsi="Microsoft YaHei"/>
          <w:b w:val="false"/>
          <w:bCs w:val="false"/>
          <w:i w:val="false"/>
          <w:iCs w:val="false"/>
          <w:color w:val="1E293B"/>
          <w:sz w:val="22"/>
          <w:szCs w:val="22"/>
        </w:rPr>
        <w:t xml:space="preserve">第15批 · 2026年01月</w:t>
      </w: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4大核心案例</w:t>
      </w:r>
    </w:p>
    <w:p>
      <w:pPr>
        <w:pStyle w:val="Heading3"/>
        <w:spacing w:after="100"/>
      </w:pPr>
      <w:r>
        <w:rPr>
          <w:rFonts w:ascii="Microsoft YaHei" w:cs="Microsoft YaHei" w:eastAsia="Microsoft YaHei" w:hAnsi="Microsoft YaHei"/>
          <w:b/>
          <w:bCs/>
          <w:i w:val="false"/>
          <w:iCs w:val="false"/>
          <w:color w:val="1E293B"/>
          <w:sz w:val="26"/>
          <w:szCs w:val="26"/>
        </w:rPr>
        <w:t xml:space="preserve">? 1 GenAI工艺优化 核心</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痛点：储能电芯制造中工艺参数组合空间巨大（温度、压力、注液量等数十维变量），传统试错法难以找到最优解，电芯容量偏差大、优品率难以突破。</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方案：以生成式AI构建工艺参数智能推荐引擎，实现工艺参数自动寻优</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数据采集与清洗：通过IoT传感器采集产线全工序工艺数据，建立结构化工艺数据库 Step 2 — GenAI模型训练：基于历史生产数据训练生成式AI模型，学习工艺参数与成品质量的映射关系 Step 3 — 实时参数推荐：模型实时分析来料批次特性，自动推荐最优工艺参数组合，实现动态工艺优化 Step 4 — 闭环自学习：在线检测结果反馈至模型，持续优化推荐精度，形成工艺自进化闭环 Step 5 — 全面推广：将GenAI工艺引擎覆盖涂布、卷绕、注液、化成等全工序</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05.01.01 | 05.02.01</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基于Transformer架构的生成式模型在工艺参数空间中学习最优映射关系，结合强化学习实现多目标权衡（容量一致性 vs 生产效率 vs 能耗），实现工艺参数的实时动态推荐与自优化闭环。</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构建覆盖涂布厚度、卷绕张力、注液量、化成曲线的全工序数据湖，通过流式计算引擎实现毫秒级工艺数据采集与分析，为GenAI模型提供高质量训练数据。</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核心成效：电芯容量偏差降低超50%，优质品率提升至97.6%，质量异常分析效率提升90%以上，PPB级超低缺陷率</w:t>
      </w:r>
    </w:p>
    <w:p>
      <w:pPr>
        <w:pStyle w:val="Heading3"/>
        <w:spacing w:after="100"/>
      </w:pPr>
      <w:r>
        <w:rPr>
          <w:rFonts w:ascii="Microsoft YaHei" w:cs="Microsoft YaHei" w:eastAsia="Microsoft YaHei" w:hAnsi="Microsoft YaHei"/>
          <w:b/>
          <w:bCs/>
          <w:i w:val="false"/>
          <w:iCs w:val="false"/>
          <w:color w:val="1E293B"/>
          <w:sz w:val="26"/>
          <w:szCs w:val="26"/>
        </w:rPr>
        <w:t xml:space="preserve">? 2 ML产能调度 核心</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痛点：多品种电芯混线生产、订单波动大、设备换型频繁，传统人工排产效率低、设备利用率不足、交付周期长。</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方案：基于机器学习的智能排产引擎，实现多约束下的全局最优产能调度</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产能建模：对每条产线的设备产能、换型时间、人员班次等约束进行数学建模 Step 2 — ML排产算法：部署混合整数规划与强化学习结合的排产模型，以设备综合效率OEE最大化为目标函数 Step 3 — 动态重调度：实时接入订单变更、设备异常信号，分钟级触发重排产，确保计划与执行的一致性 Step 4 — 可视化看板：搭建数字孪生产能看板，管理层可实时查看各产线负荷率与交付风险预警 Step 5 — 供应链联动：排产结果自动同步原材料需求计划，驱动供应商准时交付</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05.01.02 | 03.03.02</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采用MILP（混合整数线性规划）建模产线约束条件，结合深度强化学习处理动态订单插入与设备异常场景，实现分钟级全局最优重排产，相比传统APS排产效率提升数倍。</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部署工业机器人、AGV自动导引车、自动化立体仓库，实现从原材料投料到成品下线的全流程自动化流转，高危工序（如化成、注液）实现零人工介入。</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核心成效：产能跃升200%以上，产线自动化率达89%，13个月实现从开工到产线满产</w:t>
      </w:r>
    </w:p>
    <w:p>
      <w:pPr>
        <w:pStyle w:val="Heading3"/>
        <w:spacing w:after="100"/>
      </w:pPr>
      <w:r>
        <w:rPr>
          <w:rFonts w:ascii="Microsoft YaHei" w:cs="Microsoft YaHei" w:eastAsia="Microsoft YaHei" w:hAnsi="Microsoft YaHei"/>
          <w:b/>
          <w:bCs/>
          <w:i w:val="false"/>
          <w:iCs w:val="false"/>
          <w:color w:val="1E293B"/>
          <w:sz w:val="26"/>
          <w:szCs w:val="26"/>
        </w:rPr>
        <w:t xml:space="preserve">? 3 智联网OEE管理 核心</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痛点：设备数量多、工位分散，设备异常靠人工巡检发现，停机响应滞后，OEE数据不透明，设备综合效率难以系统性提升。</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方案：以AIoT智联网构建设备全生命周期管理，实现预测性维护与OEE实时优化</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IoT全域感知：在关键设备部署振动、温度、电流等多维传感器，实现设备状态全域感知 Step 2 — AIoT平台搭建：建设统一设备物联网平台，汇聚千万级数据点，实现设备数据标准化接入 Step 3 — OEE实时计算：基于IoT实时数据自动计算每台设备的可用性、性能、质量三维OEE指标 Step 4 — 预测性维护：ML模型识别设备退化模式，提前72小时预警潜在故障，实现计划性维护 Step 5 — 根因分析闭环：停机事件自动关联工艺参数与物料批次，AI辅助根因定位，缩短故障恢复时间</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01.01.05 | 07.03.01</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在涂布机、卷绕机、化成柜等关键设备部署振动传感器、红外热像、电流互感器等，通过5G工业网关实现毫秒级数据上云，单日采集数据量超TB级。</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打通PLC/SCADA层（OT）与MES/ERP层（IT）的数据壁垒，通过OPC UA统一数据模型实现纵向集成，设备状态、工艺参数、质量数据三流合一。</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核心成效：OEE提升13.4个百分点，设备异常响应时间大幅缩短，非计划停机显著下降</w:t>
      </w:r>
    </w:p>
    <w:p>
      <w:pPr>
        <w:pStyle w:val="Heading3"/>
        <w:spacing w:after="100"/>
      </w:pPr>
      <w:r>
        <w:rPr>
          <w:rFonts w:ascii="Microsoft YaHei" w:cs="Microsoft YaHei" w:eastAsia="Microsoft YaHei" w:hAnsi="Microsoft YaHei"/>
          <w:b/>
          <w:bCs/>
          <w:i w:val="false"/>
          <w:iCs w:val="false"/>
          <w:color w:val="1E293B"/>
          <w:sz w:val="26"/>
          <w:szCs w:val="26"/>
        </w:rPr>
        <w:t xml:space="preserve">? 4 数字化成本管控 核心</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痛点：储能电池行业产品价格持续下行，传统成本核算粗放、按月度汇总，无法实现工序级实时成本归集和降本驱动。</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方案：构建工序级数字化成本管控体系，从"事后核算"升级为"实时管控+主动降本"</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成本要素数字化：将原材料、能耗、人工、设备折旧、辅料等成本要素逐一编码，建立工序级成本归集模型 Step 2 — 实时成本计算：MES系统按工单实时归集各工序物料消耗、能耗、工时，实现小时级成本核算 Step 3 — 成本偏差预警：设定各工序标准成本基线，实时对比实际成本与标准成本的偏差率，异常自动预警 Step 4 — AI降本推荐：AI模型分析历史成本数据，识别降本机会点（如切换供应商、优化配方、改进工艺参数），推送可执行的降本建议 Step 5 — 能耗专项管控：对化成、干燥等高能耗工序建立能耗基准，AI优化设备运行参数，实现节能降耗</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02.03.01 | 09.03.01</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MES系统按生产工单精确记录每一道工序的物料消耗（BOM反冲）、设备运行时长、能耗读数，实现从批次级到工序级的成本核算粒度跃升。</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在化成柜、干燥炉等耗能设备部署智能电表，实时采集能耗数据，AI模型结合环境温湿度和生产节奏动态优化设备运行参数，实现单位能耗持续下降。</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核心成效：制造成本降低37%，单位产品生产能耗降低26%</w:t>
      </w:r>
    </w:p>
    <w:p>
      <w:pPr>
        <w:pStyle w:val="Heading2"/>
        <w:spacing w:after="100"/>
      </w:pPr>
      <w:r>
        <w:rPr>
          <w:rFonts w:ascii="Microsoft YaHei" w:cs="Microsoft YaHei" w:eastAsia="Microsoft YaHei" w:hAnsi="Microsoft YaHei"/>
          <w:b/>
          <w:bCs/>
          <w:i w:val="false"/>
          <w:iCs w:val="false"/>
          <w:color w:val="1A56DB"/>
          <w:sz w:val="30"/>
          <w:szCs w:val="30"/>
        </w:rPr>
        <w:t xml:space="preserve">绩效改善总览</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3000"/>
        <w:gridCol w:w="2000"/>
        <w:gridCol w:w="4026"/>
      </w:tblGrid>
      <w:tr>
        <w:tc>
          <w:tcPr>
            <w:tcW w:type="dxa" w:w="3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指标</w:t>
            </w:r>
          </w:p>
        </w:tc>
        <w:tc>
          <w:tcPr>
            <w:tcW w:type="dxa" w:w="2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pPr>
              <w:jc w:val="center"/>
            </w:pPr>
            <w:r>
              <w:rPr>
                <w:rFonts w:ascii="Arial" w:cs="Arial" w:eastAsia="Arial" w:hAnsi="Arial"/>
                <w:b/>
                <w:bCs/>
                <w:color w:val="FFFFFF"/>
                <w:sz w:val="21"/>
                <w:szCs w:val="21"/>
              </w:rPr>
              <w:t xml:space="preserve">改善</w:t>
            </w:r>
          </w:p>
        </w:tc>
        <w:tc>
          <w:tcPr>
            <w:tcW w:type="dxa" w:w="4026"/>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技术手段</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优质品率</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+5.6pp</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GenAI工艺优化+全链路智能管控，PPB级缺陷率</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产能</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3倍产能</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ML智能排产+89%自动化率，13个月满产</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OEE</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提升13.4pp</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智联网预测性维护+实时OEE管理</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制造成本</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成本降低37%</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工序级成本管控+AI降本推荐+能耗优化</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单位能耗</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能耗降低26%</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AI能耗优化+高效设备+清洁生产</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容量偏差</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偏差减半</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GenAI工艺参数自动寻优，电芯极致一致性</w:t>
            </w:r>
          </w:p>
        </w:tc>
      </w:tr>
    </w:tbl>
    <w:p>
      <w:pPr>
        <w:spacing w:after="100"/>
      </w:pP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可复制性分析</w:t>
      </w:r>
    </w:p>
    <w:p>
      <w:pPr>
        <w:spacing w:after="80"/>
      </w:pPr>
      <w:r>
        <w:rPr>
          <w:rFonts w:ascii="Microsoft YaHei" w:cs="Microsoft YaHei" w:eastAsia="Microsoft YaHei" w:hAnsi="Microsoft YaHei"/>
          <w:b w:val="false"/>
          <w:bCs w:val="false"/>
          <w:i w:val="false"/>
          <w:iCs w:val="false"/>
          <w:color w:val="1E293B"/>
          <w:sz w:val="21"/>
          <w:szCs w:val="21"/>
        </w:rPr>
        <w:t xml:space="preserve">🏢 企业规模 2025年全球储能电池出货量TOP2，GWh级出货 💰 投入规模 预估数亿元级（含四代智能工厂迭代升级） ⏱️ 实施周期 3年，完成四代智能工厂迭代 🎯 关键技术门槛 GenAI工艺引擎、ML排产算法、AIoT设备平台 👉 适合什么企业参考 锂电池/新能源电池制造企业，尤其是面临价格下行压力、追求极致良率和成本竞争力的规模化产线</w:t>
      </w:r>
    </w:p>
    <w:p>
      <w:pPr>
        <w:pStyle w:val="Heading2"/>
        <w:spacing w:after="100"/>
      </w:pPr>
      <w:r>
        <w:rPr>
          <w:rFonts w:ascii="Microsoft YaHei" w:cs="Microsoft YaHei" w:eastAsia="Microsoft YaHei" w:hAnsi="Microsoft YaHei"/>
          <w:b/>
          <w:bCs/>
          <w:i w:val="false"/>
          <w:iCs w:val="false"/>
          <w:color w:val="1A56DB"/>
          <w:sz w:val="30"/>
          <w:szCs w:val="30"/>
        </w:rPr>
        <w:t xml:space="preserve">技术全景图</w:t>
      </w:r>
    </w:p>
    <w:p>
      <w:pPr>
        <w:spacing w:after="80"/>
      </w:pPr>
      <w:r>
        <w:rPr>
          <w:rFonts w:ascii="Microsoft YaHei" w:cs="Microsoft YaHei" w:eastAsia="Microsoft YaHei" w:hAnsi="Microsoft YaHei"/>
          <w:b w:val="false"/>
          <w:bCs w:val="false"/>
          <w:i w:val="false"/>
          <w:iCs w:val="false"/>
          <w:color w:val="1E293B"/>
          <w:sz w:val="21"/>
          <w:szCs w:val="21"/>
        </w:rPr>
        <w:t xml:space="preserve">🗺️ 技术全景图 01 智能装备 ✔️ 02 工业软件 ✔️ 03 智能工厂 ✔️ 04 智慧供应链 ✔️ 05 智能赋能技术 ✔️ 06 智能制造新模式 ✔️ 07 工业网络 ✔️ 08 系统安全 · 09 绿色可持续 ✔️ 已覆盖（8/9） 未涉及 WEF重点技术覆盖率：89%</w:t>
      </w:r>
    </w:p>
    <w:p>
      <w:pPr>
        <w:pStyle w:val="Heading2"/>
        <w:spacing w:after="100"/>
      </w:pPr>
      <w:r>
        <w:rPr>
          <w:rFonts w:ascii="Microsoft YaHei" w:cs="Microsoft YaHei" w:eastAsia="Microsoft YaHei" w:hAnsi="Microsoft YaHei"/>
          <w:b/>
          <w:bCs/>
          <w:i w:val="false"/>
          <w:iCs w:val="false"/>
          <w:color w:val="1A56DB"/>
          <w:sz w:val="30"/>
          <w:szCs w:val="30"/>
        </w:rPr>
        <w:t xml:space="preserve">行业对标</w:t>
      </w:r>
    </w:p>
    <w:p>
      <w:pPr>
        <w:spacing w:after="80"/>
      </w:pPr>
      <w:r>
        <w:rPr>
          <w:rFonts w:ascii="Microsoft YaHei" w:cs="Microsoft YaHei" w:eastAsia="Microsoft YaHei" w:hAnsi="Microsoft YaHei"/>
          <w:b w:val="false"/>
          <w:bCs w:val="false"/>
          <w:i w:val="false"/>
          <w:iCs w:val="false"/>
          <w:color w:val="1E293B"/>
          <w:sz w:val="21"/>
          <w:szCs w:val="21"/>
        </w:rPr>
        <w:t xml:space="preserve">🏭 行业对标视角 国标分类路径：制造业 → 电气机械和器材制造业 → 锂电池制造（GB/T 3841） 📌 储能电池行业首个灯塔工厂，填补该细分领域空白 宁德时代宁德基地 第7批 · 动力电池 LG新能源南京基地 第10批 · 动力电池 华友钴业衢州基地 第14批 · 电池材料 💡 从动力电池到储能电池的延伸此前电池行业灯塔工厂集中在动力电池（宁德时代、LG新能源）和上游材料（华友钴业）。海辰储能是第一个以储能电池为主赛道的灯塔工厂，其GenAI工艺优化、ML产能调度、数字化成本管控构成了储能电池智能制造的三驾马车，为行业从"规模扩张"向"智造溢价"转型提供了可参考的路线图。</w:t>
      </w:r>
    </w:p>
    <w:p>
      <w:pPr>
        <w:pStyle w:val="Heading2"/>
        <w:spacing w:after="100"/>
      </w:pPr>
      <w:r>
        <w:rPr>
          <w:rFonts w:ascii="Microsoft YaHei" w:cs="Microsoft YaHei" w:eastAsia="Microsoft YaHei" w:hAnsi="Microsoft YaHei"/>
          <w:b/>
          <w:bCs/>
          <w:i w:val="false"/>
          <w:iCs w:val="false"/>
          <w:color w:val="1A56DB"/>
          <w:sz w:val="30"/>
          <w:szCs w:val="30"/>
        </w:rPr>
        <w:t xml:space="preserve">互动</w:t>
      </w:r>
    </w:p>
    <w:p>
      <w:pPr>
        <w:spacing w:after="80"/>
      </w:pPr>
      <w:r>
        <w:rPr>
          <w:rFonts w:ascii="Microsoft YaHei" w:cs="Microsoft YaHei" w:eastAsia="Microsoft YaHei" w:hAnsi="Microsoft YaHei"/>
          <w:b w:val="false"/>
          <w:bCs w:val="false"/>
          <w:i w:val="false"/>
          <w:iCs w:val="false"/>
          <w:color w:val="1E293B"/>
          <w:sz w:val="21"/>
          <w:szCs w:val="21"/>
        </w:rPr>
        <w:t xml:space="preserve">💬 互动 你的企业是否也在面临成本持续下行、质量一致性要求越来越高的挑战？ 👇 欢迎在评论区分享你的经验与困惑 📊 灯塔名录 回复【名录】获取完整名单 🔍 灯塔案例 回复【分析+企业名】 🦞 灯塔虾评 回复【自测】评估差距</w:t>
      </w:r>
    </w:p>
    <w:p>
      <w:pPr>
        <w:spacing w:after="80"/>
      </w:pPr>
      <w:r>
        <w:rPr>
          <w:rFonts w:ascii="Microsoft YaHei" w:cs="Microsoft YaHei" w:eastAsia="Microsoft YaHei" w:hAnsi="Microsoft YaHei"/>
          <w:b w:val="false"/>
          <w:bCs w:val="false"/>
          <w:i w:val="false"/>
          <w:iCs w:val="false"/>
          <w:color w:val="64748B"/>
          <w:sz w:val="21"/>
          <w:szCs w:val="21"/>
        </w:rPr>
        <w:t xml:space="preserve">📥 下载此案例（多种格式） 🌐 网页 📽️ 幻灯片 📊 PPTX 📄 DOCX 🗂️ JSON 📝 MD 📋 CSV</w:t>
      </w:r>
    </w:p>
    <w:p>
      <w:pPr>
        <w:spacing w:after="60" w:before="100"/>
        <w:jc w:val="center"/>
      </w:pPr>
      <w:r>
        <w:rPr>
          <w:rFonts w:ascii="Microsoft YaHei" w:cs="Microsoft YaHei" w:eastAsia="Microsoft YaHei" w:hAnsi="Microsoft YaHei"/>
          <w:b w:val="false"/>
          <w:bCs w:val="false"/>
          <w:i w:val="false"/>
          <w:iCs w:val="false"/>
          <w:color w:val="94A3B8"/>
          <w:sz w:val="18"/>
          <w:szCs w:val="18"/>
        </w:rPr>
        <w:t xml:space="preserve">❤️ 点「在看」，让更多同行看到 基于WEF官方数据整理 老陈说灯塔 · 每周一个灯塔工厂深度拆解</w:t>
      </w:r>
    </w:p>
    <w:p>
      <w:pPr>
        <w:spacing w:after="100"/>
      </w:pPr>
    </w:p>
    <w:p>
      <w:pPr>
        <w:spacing w:after="60" w:before="200"/>
        <w:jc w:val="center"/>
      </w:pPr>
      <w:r>
        <w:rPr>
          <w:rFonts w:ascii="Microsoft YaHei" w:cs="Microsoft YaHei" w:eastAsia="Microsoft YaHei" w:hAnsi="Microsoft YaHei"/>
          <w:b w:val="false"/>
          <w:bCs w:val="false"/>
          <w:i w:val="false"/>
          <w:iCs w:val="false"/>
          <w:color w:val="94A3B8"/>
          <w:sz w:val="18"/>
          <w:szCs w:val="18"/>
        </w:rPr>
        <w:t xml:space="preserve">数据来源：世界经济论坛（WEF）全球灯塔网络 · 公开报道</w:t>
      </w:r>
    </w:p>
    <w:p>
      <w:pPr>
        <w:spacing w:after="100"/>
        <w:jc w:val="center"/>
      </w:pPr>
      <w:r>
        <w:rPr>
          <w:rFonts w:ascii="Microsoft YaHei" w:cs="Microsoft YaHei" w:eastAsia="Microsoft YaHei" w:hAnsi="Microsoft YaHei"/>
          <w:b w:val="false"/>
          <w:bCs w:val="false"/>
          <w:i w:val="false"/>
          <w:iCs w:val="false"/>
          <w:color w:val="94A3B8"/>
          <w:sz w:val="18"/>
          <w:szCs w:val="18"/>
        </w:rPr>
        <w:t xml:space="preserve">老陈说灯塔 · 每周一个灯塔工厂深度拆解</w:t>
      </w:r>
    </w:p>
    <w:sectPr>
      <w:pgSz w:w="11906" w:h="16838" w:orient="portrait"/>
      <w:pgMar w:top="1134"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Microsoft YaHei" w:cs="Microsoft YaHei" w:eastAsia="Microsoft YaHei" w:hAnsi="Microsoft YaHe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Normal">
    <w:name w:val="Normal"/>
    <w:rPr>
      <w:rFonts w:ascii="Microsoft YaHei" w:cs="Microsoft YaHei" w:eastAsia="Microsoft YaHei" w:hAnsi="Microsoft YaHei"/>
      <w:sz w:val="22"/>
      <w:szCs w:val="2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2026-07-06T01:03:43.282Z</dcterms:created>
  <dcterms:modified xsi:type="dcterms:W3CDTF">2026-07-06T01:03:43.283Z</dcterms:modified>
</cp:coreProperties>
</file>

<file path=docProps/custom.xml><?xml version="1.0" encoding="utf-8"?>
<Properties xmlns="http://schemas.openxmlformats.org/officeDocument/2006/custom-properties" xmlns:vt="http://schemas.openxmlformats.org/officeDocument/2006/docPropsVTypes"/>
</file>