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jc w:val="center"/>
      </w:pPr>
      <w:r>
        <w:rPr>
          <w:rFonts w:ascii="Microsoft YaHei" w:cs="Microsoft YaHei" w:eastAsia="Microsoft YaHei" w:hAnsi="Microsoft YaHei"/>
          <w:b/>
          <w:bCs/>
          <w:i w:val="false"/>
          <w:iCs w:val="false"/>
          <w:color w:val="1E293B"/>
          <w:sz w:val="44"/>
          <w:szCs w:val="44"/>
        </w:rPr>
        <w:t xml:space="preserve">灯塔案例｜广汽埃安广州</w:t>
      </w:r>
    </w:p>
    <w:p>
      <w:pPr>
        <w:spacing w:after="100"/>
      </w:pPr>
    </w:p>
    <w:p>
      <w:pPr>
        <w:spacing w:after="60"/>
        <w:ind w:left="567"/>
      </w:pPr>
      <w:r>
        <w:rPr>
          <w:rFonts w:ascii="Microsoft YaHei" w:cs="Microsoft YaHei" w:eastAsia="Microsoft YaHei" w:hAnsi="Microsoft YaHei"/>
          <w:b/>
          <w:bCs/>
          <w:i/>
          <w:iCs/>
          <w:color w:val="1A56DB"/>
          <w:sz w:val="26"/>
          <w:szCs w:val="26"/>
        </w:rPr>
        <w:t xml:space="preserve">53秒下线一台车，广汽埃安用40+个AI用例，把整车工厂跑成了全球首座新能源汽车灯塔——效率↑50%、交付↓33%、成本↓58%。</w:t>
      </w:r>
    </w:p>
    <w:p>
      <w:pPr>
        <w:spacing w:after="200"/>
        <w:ind w:left="567"/>
      </w:pPr>
      <w:r>
        <w:rPr>
          <w:rFonts w:ascii="Microsoft YaHei" w:cs="Microsoft YaHei" w:eastAsia="Microsoft YaHei" w:hAnsi="Microsoft YaHei"/>
          <w:b w:val="false"/>
          <w:bCs w:val="false"/>
          <w:i w:val="false"/>
          <w:iCs w:val="false"/>
          <w:color w:val="64748B"/>
          <w:sz w:val="20"/>
          <w:szCs w:val="20"/>
        </w:rPr>
        <w:t xml:space="preserve">—— 广汽埃安广州 · 第11批 · 单一灯塔灯塔 · 2023年12月</w:t>
      </w:r>
    </w:p>
    <w:p>
      <w:pPr>
        <w:pStyle w:val="Heading2"/>
        <w:spacing w:after="100"/>
      </w:pPr>
      <w:r>
        <w:rPr>
          <w:rFonts w:ascii="Microsoft YaHei" w:cs="Microsoft YaHei" w:eastAsia="Microsoft YaHei" w:hAnsi="Microsoft YaHei"/>
          <w:b/>
          <w:bCs/>
          <w:i w:val="false"/>
          <w:iCs w:val="false"/>
          <w:color w:val="1A56DB"/>
          <w:sz w:val="30"/>
          <w:szCs w:val="30"/>
        </w:rPr>
        <w:t xml:space="preserve">企业名片</w:t>
      </w:r>
    </w:p>
    <w:p>
      <w:pPr>
        <w:spacing w:after="100"/>
      </w:pPr>
      <w:r>
        <w:rPr>
          <w:rFonts w:ascii="Microsoft YaHei" w:cs="Microsoft YaHei" w:eastAsia="Microsoft YaHei" w:hAnsi="Microsoft YaHei"/>
          <w:b/>
          <w:bCs/>
          <w:i w:val="false"/>
          <w:iCs w:val="false"/>
          <w:color w:val="2E7D32"/>
          <w:sz w:val="28"/>
          <w:szCs w:val="28"/>
        </w:rPr>
        <w:t xml:space="preserve">🔖 灯塔编码：15311CN08</w:t>
      </w:r>
    </w:p>
    <w:p>
      <w:pPr>
        <w:spacing w:after="80"/>
      </w:pPr>
      <w:r>
        <w:rPr>
          <w:rFonts w:ascii="Microsoft YaHei" w:cs="Microsoft YaHei" w:eastAsia="Microsoft YaHei" w:hAnsi="Microsoft YaHei"/>
          <w:b/>
          <w:bCs/>
          <w:i w:val="false"/>
          <w:iCs w:val="false"/>
          <w:color w:val="1E293B"/>
          <w:sz w:val="22"/>
          <w:szCs w:val="22"/>
        </w:rPr>
        <w:t xml:space="preserve">企业名称：</w:t>
      </w:r>
      <w:r>
        <w:rPr>
          <w:rFonts w:ascii="Microsoft YaHei" w:cs="Microsoft YaHei" w:eastAsia="Microsoft YaHei" w:hAnsi="Microsoft YaHei"/>
          <w:b w:val="false"/>
          <w:bCs w:val="false"/>
          <w:i w:val="false"/>
          <w:iCs w:val="false"/>
          <w:color w:val="1E293B"/>
          <w:sz w:val="22"/>
          <w:szCs w:val="22"/>
        </w:rPr>
        <w:t xml:space="preserve">广汽埃安广州</w:t>
      </w:r>
    </w:p>
    <w:p>
      <w:pPr>
        <w:spacing w:after="80"/>
      </w:pPr>
      <w:r>
        <w:rPr>
          <w:rFonts w:ascii="Microsoft YaHei" w:cs="Microsoft YaHei" w:eastAsia="Microsoft YaHei" w:hAnsi="Microsoft YaHei"/>
          <w:b/>
          <w:bCs/>
          <w:i w:val="false"/>
          <w:iCs w:val="false"/>
          <w:color w:val="1E293B"/>
          <w:sz w:val="22"/>
          <w:szCs w:val="22"/>
        </w:rPr>
        <w:t xml:space="preserve">工厂所在地：</w:t>
      </w:r>
      <w:r>
        <w:rPr>
          <w:rFonts w:ascii="Microsoft YaHei" w:cs="Microsoft YaHei" w:eastAsia="Microsoft YaHei" w:hAnsi="Microsoft YaHei"/>
          <w:b w:val="false"/>
          <w:bCs w:val="false"/>
          <w:i w:val="false"/>
          <w:iCs w:val="false"/>
          <w:color w:val="1E293B"/>
          <w:sz w:val="22"/>
          <w:szCs w:val="22"/>
        </w:rPr>
        <w:t xml:space="preserve">中国 · 广东广州</w:t>
      </w:r>
    </w:p>
    <w:p>
      <w:pPr>
        <w:spacing w:after="80"/>
      </w:pPr>
      <w:r>
        <w:rPr>
          <w:rFonts w:ascii="Microsoft YaHei" w:cs="Microsoft YaHei" w:eastAsia="Microsoft YaHei" w:hAnsi="Microsoft YaHei"/>
          <w:b/>
          <w:bCs/>
          <w:i w:val="false"/>
          <w:iCs w:val="false"/>
          <w:color w:val="1E293B"/>
          <w:sz w:val="22"/>
          <w:szCs w:val="22"/>
        </w:rPr>
        <w:t xml:space="preserve">所属行业：</w:t>
      </w:r>
      <w:r>
        <w:rPr>
          <w:rFonts w:ascii="Microsoft YaHei" w:cs="Microsoft YaHei" w:eastAsia="Microsoft YaHei" w:hAnsi="Microsoft YaHei"/>
          <w:b w:val="false"/>
          <w:bCs w:val="false"/>
          <w:i w:val="false"/>
          <w:iCs w:val="false"/>
          <w:color w:val="1E293B"/>
          <w:sz w:val="22"/>
          <w:szCs w:val="22"/>
        </w:rPr>
        <w:t xml:space="preserve"> · 汽车制造 · 整车制造 (GBT )</w:t>
      </w:r>
    </w:p>
    <w:p>
      <w:pPr>
        <w:spacing w:after="80"/>
      </w:pPr>
      <w:r>
        <w:rPr>
          <w:rFonts w:ascii="Microsoft YaHei" w:cs="Microsoft YaHei" w:eastAsia="Microsoft YaHei" w:hAnsi="Microsoft YaHei"/>
          <w:b/>
          <w:bCs/>
          <w:i w:val="false"/>
          <w:iCs w:val="false"/>
          <w:color w:val="1E293B"/>
          <w:sz w:val="22"/>
          <w:szCs w:val="22"/>
        </w:rPr>
        <w:t xml:space="preserve">灯塔类型：</w:t>
      </w:r>
      <w:r>
        <w:rPr>
          <w:rFonts w:ascii="Microsoft YaHei" w:cs="Microsoft YaHei" w:eastAsia="Microsoft YaHei" w:hAnsi="Microsoft YaHei"/>
          <w:b w:val="false"/>
          <w:bCs w:val="false"/>
          <w:i w:val="false"/>
          <w:iCs w:val="false"/>
          <w:color w:val="1E293B"/>
          <w:sz w:val="22"/>
          <w:szCs w:val="22"/>
        </w:rPr>
        <w:t xml:space="preserve">单一灯塔</w:t>
      </w:r>
    </w:p>
    <w:p>
      <w:pPr>
        <w:spacing w:after="80"/>
      </w:pPr>
      <w:r>
        <w:rPr>
          <w:rFonts w:ascii="Microsoft YaHei" w:cs="Microsoft YaHei" w:eastAsia="Microsoft YaHei" w:hAnsi="Microsoft YaHei"/>
          <w:b/>
          <w:bCs/>
          <w:i w:val="false"/>
          <w:iCs w:val="false"/>
          <w:color w:val="1E293B"/>
          <w:sz w:val="22"/>
          <w:szCs w:val="22"/>
        </w:rPr>
        <w:t xml:space="preserve">批次/发布日期：</w:t>
      </w:r>
      <w:r>
        <w:rPr>
          <w:rFonts w:ascii="Microsoft YaHei" w:cs="Microsoft YaHei" w:eastAsia="Microsoft YaHei" w:hAnsi="Microsoft YaHei"/>
          <w:b w:val="false"/>
          <w:bCs w:val="false"/>
          <w:i w:val="false"/>
          <w:iCs w:val="false"/>
          <w:color w:val="1E293B"/>
          <w:sz w:val="22"/>
          <w:szCs w:val="22"/>
        </w:rPr>
        <w:t xml:space="preserve">第11批 · 2023年12月</w:t>
      </w:r>
    </w:p>
    <w:p>
      <w:pPr>
        <w:spacing w:after="80"/>
      </w:pPr>
      <w:r>
        <w:rPr>
          <w:rFonts w:ascii="Microsoft YaHei" w:cs="Microsoft YaHei" w:eastAsia="Microsoft YaHei" w:hAnsi="Microsoft YaHei"/>
          <w:b/>
          <w:bCs/>
          <w:i w:val="false"/>
          <w:iCs w:val="false"/>
          <w:color w:val="1E293B"/>
          <w:sz w:val="22"/>
          <w:szCs w:val="22"/>
        </w:rPr>
        <w:t xml:space="preserve">核心产品：</w:t>
      </w:r>
      <w:r>
        <w:rPr>
          <w:rFonts w:ascii="Microsoft YaHei" w:cs="Microsoft YaHei" w:eastAsia="Microsoft YaHei" w:hAnsi="Microsoft YaHei"/>
          <w:b w:val="false"/>
          <w:bCs w:val="false"/>
          <w:i w:val="false"/>
          <w:iCs w:val="false"/>
          <w:color w:val="1E293B"/>
          <w:sz w:val="22"/>
          <w:szCs w:val="22"/>
        </w:rPr>
        <w:t xml:space="preserve">纯电动乘用车（AION埃安）、昊铂超跑、弹匣电池2.0、夸克电驱2.0、海绵硅负极片电池</w:t>
      </w:r>
    </w:p>
    <w:p>
      <w:pPr>
        <w:spacing w:after="80"/>
      </w:pPr>
      <w:r>
        <w:rPr>
          <w:rFonts w:ascii="Microsoft YaHei" w:cs="Microsoft YaHei" w:eastAsia="Microsoft YaHei" w:hAnsi="Microsoft YaHei"/>
          <w:b/>
          <w:bCs/>
          <w:i w:val="false"/>
          <w:iCs w:val="false"/>
          <w:color w:val="1E293B"/>
          <w:sz w:val="22"/>
          <w:szCs w:val="22"/>
        </w:rPr>
        <w:t xml:space="preserve">应用领域：</w:t>
      </w:r>
      <w:r>
        <w:rPr>
          <w:rFonts w:ascii="Microsoft YaHei" w:cs="Microsoft YaHei" w:eastAsia="Microsoft YaHei" w:hAnsi="Microsoft YaHei"/>
          <w:b w:val="false"/>
          <w:bCs w:val="false"/>
          <w:i w:val="false"/>
          <w:iCs w:val="false"/>
          <w:color w:val="1E293B"/>
          <w:sz w:val="22"/>
          <w:szCs w:val="22"/>
        </w:rPr>
        <w:t xml:space="preserve">新能源汽车整车制造、钢铝混合车身焊装、柔性混流总装、智能物料配送、V2G微电网能源管理</w:t>
      </w:r>
    </w:p>
    <w:p>
      <w:pPr>
        <w:spacing w:after="100"/>
      </w:pPr>
    </w:p>
    <w:p>
      <w:pPr>
        <w:pStyle w:val="Heading2"/>
        <w:spacing w:after="100"/>
      </w:pPr>
      <w:r>
        <w:rPr>
          <w:rFonts w:ascii="Microsoft YaHei" w:cs="Microsoft YaHei" w:eastAsia="Microsoft YaHei" w:hAnsi="Microsoft YaHei"/>
          <w:b/>
          <w:bCs/>
          <w:i w:val="false"/>
          <w:iCs w:val="false"/>
          <w:color w:val="1A56DB"/>
          <w:sz w:val="30"/>
          <w:szCs w:val="30"/>
        </w:rPr>
        <w:t xml:space="preserve">5大核心案例</w:t>
      </w:r>
    </w:p>
    <w:p>
      <w:pPr>
        <w:pStyle w:val="Heading3"/>
        <w:spacing w:after="100"/>
      </w:pPr>
      <w:r>
        <w:rPr>
          <w:rFonts w:ascii="Microsoft YaHei" w:cs="Microsoft YaHei" w:eastAsia="Microsoft YaHei" w:hAnsi="Microsoft YaHei"/>
          <w:b/>
          <w:bCs/>
          <w:i w:val="false"/>
          <w:iCs w:val="false"/>
          <w:color w:val="1E293B"/>
          <w:sz w:val="26"/>
          <w:szCs w:val="26"/>
        </w:rPr>
        <w:t xml:space="preserve">① 客户直连制造定制平台 核心用例</w:t>
      </w:r>
    </w:p>
    <w:p>
      <w:pPr>
        <w:spacing w:after="80"/>
      </w:pPr>
      <w:r>
        <w:rPr>
          <w:rFonts w:ascii="Microsoft YaHei" w:cs="Microsoft YaHei" w:eastAsia="Microsoft YaHei" w:hAnsi="Microsoft YaHei"/>
          <w:b/>
          <w:bCs/>
          <w:i w:val="false"/>
          <w:iCs w:val="false"/>
          <w:color w:val="DC2626"/>
          <w:sz w:val="22"/>
          <w:szCs w:val="22"/>
        </w:rPr>
        <w:t xml:space="preserve">业务痛点：</w:t>
      </w:r>
      <w:r>
        <w:rPr>
          <w:rFonts w:ascii="Microsoft YaHei" w:cs="Microsoft YaHei" w:eastAsia="Microsoft YaHei" w:hAnsi="Microsoft YaHei"/>
          <w:b w:val="false"/>
          <w:bCs w:val="false"/>
          <w:i w:val="false"/>
          <w:iCs w:val="false"/>
          <w:color w:val="DC2626"/>
          <w:sz w:val="21"/>
          <w:szCs w:val="21"/>
        </w:rPr>
        <w:t xml:space="preserve">⚠️ 痛点：传统整车厂以产定销，客户在颜色、配置、动力、车门形态上的个性化需求难以直达产线，定制车型交付周期长。</w:t>
      </w:r>
    </w:p>
    <w:p>
      <w:pPr>
        <w:spacing w:after="80"/>
      </w:pPr>
      <w:r>
        <w:rPr>
          <w:rFonts w:ascii="Microsoft YaHei" w:cs="Microsoft YaHei" w:eastAsia="Microsoft YaHei" w:hAnsi="Microsoft YaHei"/>
          <w:b/>
          <w:bCs/>
          <w:i w:val="false"/>
          <w:iCs w:val="false"/>
          <w:color w:val="1A56DB"/>
          <w:sz w:val="22"/>
          <w:szCs w:val="22"/>
        </w:rPr>
        <w:t xml:space="preserve">解决思路：</w:t>
      </w:r>
      <w:r>
        <w:rPr>
          <w:rFonts w:ascii="Microsoft YaHei" w:cs="Microsoft YaHei" w:eastAsia="Microsoft YaHei" w:hAnsi="Microsoft YaHei"/>
          <w:b w:val="false"/>
          <w:bCs w:val="false"/>
          <w:i w:val="false"/>
          <w:iCs w:val="false"/>
          <w:color w:val="1A56DB"/>
          <w:sz w:val="21"/>
          <w:szCs w:val="21"/>
        </w:rPr>
        <w:t xml:space="preserve">💡 方案：客户下单实时转化为生产订单，提供10万+配置选项，实现订单→制造→物流→交付全流程数字化，客户可通过APP随时查看定制车辆生产状态。</w:t>
      </w:r>
    </w:p>
    <w:p>
      <w:pPr>
        <w:spacing w:after="80"/>
      </w:pPr>
      <w:r>
        <w:rPr>
          <w:rFonts w:ascii="Microsoft YaHei" w:cs="Microsoft YaHei" w:eastAsia="Microsoft YaHei" w:hAnsi="Microsoft YaHei"/>
          <w:b/>
          <w:bCs/>
          <w:i w:val="false"/>
          <w:iCs w:val="false"/>
          <w:color w:val="1E293B"/>
          <w:sz w:val="22"/>
          <w:szCs w:val="22"/>
        </w:rPr>
        <w:t xml:space="preserve">实施路径：</w:t>
      </w:r>
      <w:r>
        <w:rPr>
          <w:rFonts w:ascii="Microsoft YaHei" w:cs="Microsoft YaHei" w:eastAsia="Microsoft YaHei" w:hAnsi="Microsoft YaHei"/>
          <w:b w:val="false"/>
          <w:bCs w:val="false"/>
          <w:i w:val="false"/>
          <w:iCs w:val="false"/>
          <w:color w:val="1E293B"/>
          <w:sz w:val="21"/>
          <w:szCs w:val="21"/>
        </w:rPr>
        <w:t xml:space="preserve">Step 1 — 订单数字化：客户通过APP/官网下单，实时生成个性化配置订单 Step 2 — 自动排产：订单实时转化为生产订单，MES自动调度形成生产计划 Step 3 — 柔性混流：钢铝车身共线，支持最多10款车型混线作业 Step 4 — 全程透明：客户通过APP随时查看定制车辆生产状态 Step 5 — 按单交付：全自动产线支持按单/备货混产，确保准时交货</w:t>
      </w:r>
    </w:p>
    <w:p>
      <w:pPr>
        <w:spacing w:after="60"/>
      </w:pPr>
      <w:r>
        <w:rPr>
          <w:rFonts w:ascii="Microsoft YaHei" w:cs="Microsoft YaHei" w:eastAsia="Microsoft YaHei" w:hAnsi="Microsoft YaHei"/>
          <w:b/>
          <w:bCs/>
          <w:i w:val="false"/>
          <w:iCs w:val="false"/>
          <w:color w:val="1E293B"/>
          <w:sz w:val="22"/>
          <w:szCs w:val="22"/>
        </w:rPr>
        <w:t xml:space="preserve">技术标签：</w:t>
      </w:r>
      <w:r>
        <w:rPr>
          <w:rFonts w:ascii="Microsoft YaHei" w:cs="Microsoft YaHei" w:eastAsia="Microsoft YaHei" w:hAnsi="Microsoft YaHei"/>
          <w:b w:val="false"/>
          <w:bCs w:val="false"/>
          <w:i w:val="false"/>
          <w:iCs w:val="false"/>
          <w:color w:val="0369A1"/>
          <w:sz w:val="21"/>
          <w:szCs w:val="21"/>
        </w:rPr>
        <w:t xml:space="preserve">06.01.02 | 06.01.01 | 02.03.01</w:t>
      </w:r>
    </w:p>
    <w:p>
      <w:pPr>
        <w:spacing w:after="40"/>
        <w:ind w:left="200"/>
      </w:pPr>
      <w:r>
        <w:rPr>
          <w:rFonts w:ascii="Microsoft YaHei" w:cs="Microsoft YaHei" w:eastAsia="Microsoft YaHei" w:hAnsi="Microsoft YaHei"/>
          <w:b w:val="false"/>
          <w:bCs w:val="false"/>
          <w:i w:val="false"/>
          <w:iCs w:val="false"/>
          <w:color w:val="475569"/>
          <w:sz w:val="20"/>
          <w:szCs w:val="20"/>
        </w:rPr>
        <w:t xml:space="preserve">客户订单直接驱动制造，跳过传统经销商预测环节，实现大规模个性化定制。</w:t>
      </w:r>
    </w:p>
    <w:p>
      <w:pPr>
        <w:spacing w:after="40"/>
        <w:ind w:left="200"/>
      </w:pPr>
      <w:r>
        <w:rPr>
          <w:rFonts w:ascii="Microsoft YaHei" w:cs="Microsoft YaHei" w:eastAsia="Microsoft YaHei" w:hAnsi="Microsoft YaHei"/>
          <w:b w:val="false"/>
          <w:bCs w:val="false"/>
          <w:i w:val="false"/>
          <w:iCs w:val="false"/>
          <w:color w:val="475569"/>
          <w:sz w:val="20"/>
          <w:szCs w:val="20"/>
        </w:rPr>
        <w:t xml:space="preserve">深度互动式定制与高效生产结合，100多种颜色实时任意切换，车型切换零损失。</w:t>
      </w:r>
    </w:p>
    <w:p>
      <w:pPr>
        <w:spacing w:after="40"/>
        <w:ind w:left="200"/>
      </w:pPr>
      <w:r>
        <w:rPr>
          <w:rFonts w:ascii="Microsoft YaHei" w:cs="Microsoft YaHei" w:eastAsia="Microsoft YaHei" w:hAnsi="Microsoft YaHei"/>
          <w:b w:val="false"/>
          <w:bCs w:val="false"/>
          <w:i w:val="false"/>
          <w:iCs w:val="false"/>
          <w:color w:val="475569"/>
          <w:sz w:val="20"/>
          <w:szCs w:val="20"/>
        </w:rPr>
        <w:t xml:space="preserve">依托大数据云平台与MES系统，实现订单到制造的实时转化与生产指示。</w:t>
      </w:r>
    </w:p>
    <w:p>
      <w:pPr>
        <w:spacing w:after="60"/>
      </w:pPr>
      <w:r>
        <w:rPr>
          <w:rFonts w:ascii="Microsoft YaHei" w:cs="Microsoft YaHei" w:eastAsia="Microsoft YaHei" w:hAnsi="Microsoft YaHei"/>
          <w:b w:val="false"/>
          <w:bCs w:val="false"/>
          <w:i w:val="false"/>
          <w:iCs w:val="false"/>
          <w:color w:val="1E293B"/>
          <w:sz w:val="21"/>
          <w:szCs w:val="21"/>
        </w:rPr>
        <w:t xml:space="preserve">关键数据：📊 核心成效：订单到交付↓30%，提供10万+配置选项，按单/备货混产。</w:t>
      </w:r>
    </w:p>
    <w:p>
      <w:pPr>
        <w:pStyle w:val="Heading3"/>
        <w:spacing w:after="100"/>
      </w:pPr>
      <w:r>
        <w:rPr>
          <w:rFonts w:ascii="Microsoft YaHei" w:cs="Microsoft YaHei" w:eastAsia="Microsoft YaHei" w:hAnsi="Microsoft YaHei"/>
          <w:b/>
          <w:bCs/>
          <w:i w:val="false"/>
          <w:iCs w:val="false"/>
          <w:color w:val="1E293B"/>
          <w:sz w:val="26"/>
          <w:szCs w:val="26"/>
        </w:rPr>
        <w:t xml:space="preserve">② AI柔性自动化 核心用例</w:t>
      </w:r>
    </w:p>
    <w:p>
      <w:pPr>
        <w:spacing w:after="80"/>
      </w:pPr>
      <w:r>
        <w:rPr>
          <w:rFonts w:ascii="Microsoft YaHei" w:cs="Microsoft YaHei" w:eastAsia="Microsoft YaHei" w:hAnsi="Microsoft YaHei"/>
          <w:b/>
          <w:bCs/>
          <w:i w:val="false"/>
          <w:iCs w:val="false"/>
          <w:color w:val="DC2626"/>
          <w:sz w:val="22"/>
          <w:szCs w:val="22"/>
        </w:rPr>
        <w:t xml:space="preserve">业务痛点：</w:t>
      </w:r>
      <w:r>
        <w:rPr>
          <w:rFonts w:ascii="Microsoft YaHei" w:cs="Microsoft YaHei" w:eastAsia="Microsoft YaHei" w:hAnsi="Microsoft YaHei"/>
          <w:b w:val="false"/>
          <w:bCs w:val="false"/>
          <w:i w:val="false"/>
          <w:iCs w:val="false"/>
          <w:color w:val="DC2626"/>
          <w:sz w:val="21"/>
          <w:szCs w:val="21"/>
        </w:rPr>
        <w:t xml:space="preserve">⚠️ 痛点：新能源汽车车型迭代快、配置组合多，传统固定工位产线难以适应多车型混流与快速换型。</w:t>
      </w:r>
    </w:p>
    <w:p>
      <w:pPr>
        <w:spacing w:after="80"/>
      </w:pPr>
      <w:r>
        <w:rPr>
          <w:rFonts w:ascii="Microsoft YaHei" w:cs="Microsoft YaHei" w:eastAsia="Microsoft YaHei" w:hAnsi="Microsoft YaHei"/>
          <w:b/>
          <w:bCs/>
          <w:i w:val="false"/>
          <w:iCs w:val="false"/>
          <w:color w:val="1A56DB"/>
          <w:sz w:val="22"/>
          <w:szCs w:val="22"/>
        </w:rPr>
        <w:t xml:space="preserve">解决思路：</w:t>
      </w:r>
      <w:r>
        <w:rPr>
          <w:rFonts w:ascii="Microsoft YaHei" w:cs="Microsoft YaHei" w:eastAsia="Microsoft YaHei" w:hAnsi="Microsoft YaHei"/>
          <w:b w:val="false"/>
          <w:bCs w:val="false"/>
          <w:i w:val="false"/>
          <w:iCs w:val="false"/>
          <w:color w:val="1A56DB"/>
          <w:sz w:val="21"/>
          <w:szCs w:val="21"/>
        </w:rPr>
        <w:t xml:space="preserve">💡 方案：600+工业机器人协同作业，激光螺旋焊、一体式热成型等核心技术，钢铝混合车身共线生产，10车型混流、换型零损失。</w:t>
      </w:r>
    </w:p>
    <w:p>
      <w:pPr>
        <w:spacing w:after="80"/>
      </w:pPr>
      <w:r>
        <w:rPr>
          <w:rFonts w:ascii="Microsoft YaHei" w:cs="Microsoft YaHei" w:eastAsia="Microsoft YaHei" w:hAnsi="Microsoft YaHei"/>
          <w:b/>
          <w:bCs/>
          <w:i w:val="false"/>
          <w:iCs w:val="false"/>
          <w:color w:val="1E293B"/>
          <w:sz w:val="22"/>
          <w:szCs w:val="22"/>
        </w:rPr>
        <w:t xml:space="preserve">实施路径：</w:t>
      </w:r>
      <w:r>
        <w:rPr>
          <w:rFonts w:ascii="Microsoft YaHei" w:cs="Microsoft YaHei" w:eastAsia="Microsoft YaHei" w:hAnsi="Microsoft YaHei"/>
          <w:b w:val="false"/>
          <w:bCs w:val="false"/>
          <w:i w:val="false"/>
          <w:iCs w:val="false"/>
          <w:color w:val="1E293B"/>
          <w:sz w:val="21"/>
          <w:szCs w:val="21"/>
        </w:rPr>
        <w:t xml:space="preserve">Step 1 — 钢铝共线：钢铝混合车身实现共线生产，兼容SUV/轿车多种车身 Step 2 — 机器人集群：600+工业机器人，多机器人融合工位全自动作业 Step 3 — AI视觉定位：视觉定位+涂胶+胶型检测全自动化，毫米级精度 Step 4 — 柔性换型：100多种颜色实时切换，车型切换零损失 Step 5 — 混流生产：一条产线兼容七八款车型混流，53秒/台节拍</w:t>
      </w:r>
    </w:p>
    <w:p>
      <w:pPr>
        <w:spacing w:after="60"/>
      </w:pPr>
      <w:r>
        <w:rPr>
          <w:rFonts w:ascii="Microsoft YaHei" w:cs="Microsoft YaHei" w:eastAsia="Microsoft YaHei" w:hAnsi="Microsoft YaHei"/>
          <w:b/>
          <w:bCs/>
          <w:i w:val="false"/>
          <w:iCs w:val="false"/>
          <w:color w:val="1E293B"/>
          <w:sz w:val="22"/>
          <w:szCs w:val="22"/>
        </w:rPr>
        <w:t xml:space="preserve">技术标签：</w:t>
      </w:r>
      <w:r>
        <w:rPr>
          <w:rFonts w:ascii="Microsoft YaHei" w:cs="Microsoft YaHei" w:eastAsia="Microsoft YaHei" w:hAnsi="Microsoft YaHei"/>
          <w:b w:val="false"/>
          <w:bCs w:val="false"/>
          <w:i w:val="false"/>
          <w:iCs w:val="false"/>
          <w:color w:val="0369A1"/>
          <w:sz w:val="21"/>
          <w:szCs w:val="21"/>
        </w:rPr>
        <w:t xml:space="preserve">01.02.02 | 03.03.01 | 05.01.01</w:t>
      </w:r>
    </w:p>
    <w:p>
      <w:pPr>
        <w:spacing w:after="40"/>
        <w:ind w:left="200"/>
      </w:pPr>
      <w:r>
        <w:rPr>
          <w:rFonts w:ascii="Microsoft YaHei" w:cs="Microsoft YaHei" w:eastAsia="Microsoft YaHei" w:hAnsi="Microsoft YaHei"/>
          <w:b w:val="false"/>
          <w:bCs w:val="false"/>
          <w:i w:val="false"/>
          <w:iCs w:val="false"/>
          <w:color w:val="475569"/>
          <w:sz w:val="20"/>
          <w:szCs w:val="20"/>
        </w:rPr>
        <w:t xml:space="preserve">前后挡风玻璃、轮胎安装等多机器人融合工位，从零件上料到搭载全自动。</w:t>
      </w:r>
    </w:p>
    <w:p>
      <w:pPr>
        <w:spacing w:after="40"/>
        <w:ind w:left="200"/>
      </w:pPr>
      <w:r>
        <w:rPr>
          <w:rFonts w:ascii="Microsoft YaHei" w:cs="Microsoft YaHei" w:eastAsia="Microsoft YaHei" w:hAnsi="Microsoft YaHei"/>
          <w:b w:val="false"/>
          <w:bCs w:val="false"/>
          <w:i w:val="false"/>
          <w:iCs w:val="false"/>
          <w:color w:val="475569"/>
          <w:sz w:val="20"/>
          <w:szCs w:val="20"/>
        </w:rPr>
        <w:t xml:space="preserve">自适应柔性直线七轴机器人，钢铝混合车身共线，支持最多10车型混线。</w:t>
      </w:r>
    </w:p>
    <w:p>
      <w:pPr>
        <w:spacing w:after="40"/>
        <w:ind w:left="200"/>
      </w:pPr>
      <w:r>
        <w:rPr>
          <w:rFonts w:ascii="Microsoft YaHei" w:cs="Microsoft YaHei" w:eastAsia="Microsoft YaHei" w:hAnsi="Microsoft YaHei"/>
          <w:b w:val="false"/>
          <w:bCs w:val="false"/>
          <w:i w:val="false"/>
          <w:iCs w:val="false"/>
          <w:color w:val="475569"/>
          <w:sz w:val="20"/>
          <w:szCs w:val="20"/>
        </w:rPr>
        <w:t xml:space="preserve">激光螺旋焊、一体式热成型与AI视觉定位结合，焊接节拍53秒/台。</w:t>
      </w:r>
    </w:p>
    <w:p>
      <w:pPr>
        <w:spacing w:after="60"/>
      </w:pPr>
      <w:r>
        <w:rPr>
          <w:rFonts w:ascii="Microsoft YaHei" w:cs="Microsoft YaHei" w:eastAsia="Microsoft YaHei" w:hAnsi="Microsoft YaHei"/>
          <w:b w:val="false"/>
          <w:bCs w:val="false"/>
          <w:i w:val="false"/>
          <w:iCs w:val="false"/>
          <w:color w:val="1E293B"/>
          <w:sz w:val="21"/>
          <w:szCs w:val="21"/>
        </w:rPr>
        <w:t xml:space="preserve">关键数据：📊 核心成效：换线时间↓67%，53秒/台节拍，生产效率较传统模式提升近20%。</w:t>
      </w:r>
    </w:p>
    <w:p>
      <w:pPr>
        <w:pStyle w:val="Heading3"/>
        <w:spacing w:after="100"/>
      </w:pPr>
      <w:r>
        <w:rPr>
          <w:rFonts w:ascii="Microsoft YaHei" w:cs="Microsoft YaHei" w:eastAsia="Microsoft YaHei" w:hAnsi="Microsoft YaHei"/>
          <w:b/>
          <w:bCs/>
          <w:i w:val="false"/>
          <w:iCs w:val="false"/>
          <w:color w:val="1E293B"/>
          <w:sz w:val="26"/>
          <w:szCs w:val="26"/>
        </w:rPr>
        <w:t xml:space="preserve">③ AI自主物料配送控制塔 核心用例</w:t>
      </w:r>
    </w:p>
    <w:p>
      <w:pPr>
        <w:spacing w:after="80"/>
      </w:pPr>
      <w:r>
        <w:rPr>
          <w:rFonts w:ascii="Microsoft YaHei" w:cs="Microsoft YaHei" w:eastAsia="Microsoft YaHei" w:hAnsi="Microsoft YaHei"/>
          <w:b/>
          <w:bCs/>
          <w:i w:val="false"/>
          <w:iCs w:val="false"/>
          <w:color w:val="DC2626"/>
          <w:sz w:val="22"/>
          <w:szCs w:val="22"/>
        </w:rPr>
        <w:t xml:space="preserve">业务痛点：</w:t>
      </w:r>
      <w:r>
        <w:rPr>
          <w:rFonts w:ascii="Microsoft YaHei" w:cs="Microsoft YaHei" w:eastAsia="Microsoft YaHei" w:hAnsi="Microsoft YaHei"/>
          <w:b w:val="false"/>
          <w:bCs w:val="false"/>
          <w:i w:val="false"/>
          <w:iCs w:val="false"/>
          <w:color w:val="DC2626"/>
          <w:sz w:val="21"/>
          <w:szCs w:val="21"/>
        </w:rPr>
        <w:t xml:space="preserve">⚠️ 痛点：传统主机厂生产线边零件堆积，物料配送依赖人工，超10公斤大件搬运强度大、效率低。</w:t>
      </w:r>
    </w:p>
    <w:p>
      <w:pPr>
        <w:spacing w:after="80"/>
      </w:pPr>
      <w:r>
        <w:rPr>
          <w:rFonts w:ascii="Microsoft YaHei" w:cs="Microsoft YaHei" w:eastAsia="Microsoft YaHei" w:hAnsi="Microsoft YaHei"/>
          <w:b/>
          <w:bCs/>
          <w:i w:val="false"/>
          <w:iCs w:val="false"/>
          <w:color w:val="1A56DB"/>
          <w:sz w:val="22"/>
          <w:szCs w:val="22"/>
        </w:rPr>
        <w:t xml:space="preserve">解决思路：</w:t>
      </w:r>
      <w:r>
        <w:rPr>
          <w:rFonts w:ascii="Microsoft YaHei" w:cs="Microsoft YaHei" w:eastAsia="Microsoft YaHei" w:hAnsi="Microsoft YaHei"/>
          <w:b w:val="false"/>
          <w:bCs w:val="false"/>
          <w:i w:val="false"/>
          <w:iCs w:val="false"/>
          <w:color w:val="1A56DB"/>
          <w:sz w:val="21"/>
          <w:szCs w:val="21"/>
        </w:rPr>
        <w:t xml:space="preserve">💡 方案：零件按订单在上线前预先排序装箱，AI控制塔统一调度AGV无人配送，20%物流搬运无人化，超10公斤大物100%全自动搭载。</w:t>
      </w:r>
    </w:p>
    <w:p>
      <w:pPr>
        <w:spacing w:after="80"/>
      </w:pPr>
      <w:r>
        <w:rPr>
          <w:rFonts w:ascii="Microsoft YaHei" w:cs="Microsoft YaHei" w:eastAsia="Microsoft YaHei" w:hAnsi="Microsoft YaHei"/>
          <w:b/>
          <w:bCs/>
          <w:i w:val="false"/>
          <w:iCs w:val="false"/>
          <w:color w:val="1E293B"/>
          <w:sz w:val="22"/>
          <w:szCs w:val="22"/>
        </w:rPr>
        <w:t xml:space="preserve">实施路径：</w:t>
      </w:r>
      <w:r>
        <w:rPr>
          <w:rFonts w:ascii="Microsoft YaHei" w:cs="Microsoft YaHei" w:eastAsia="Microsoft YaHei" w:hAnsi="Microsoft YaHei"/>
          <w:b w:val="false"/>
          <w:bCs w:val="false"/>
          <w:i w:val="false"/>
          <w:iCs w:val="false"/>
          <w:color w:val="1E293B"/>
          <w:sz w:val="21"/>
          <w:szCs w:val="21"/>
        </w:rPr>
        <w:t xml:space="preserve">Step 1 — 物料排序：零件根据生产队列在上线前预先排序装箱 Step 2 — AI控制塔：统一调度物料配送与AGV运行路径 Step 3 — AGV无人配送：20%物流搬运作业实现AGV无人化 Step 4 — 大物自动搭载：超10公斤大件100%全自动，近1吨电池自动上料 Step 5 — 少人化运营：脏活累活交给机器人，再造工人价值</w:t>
      </w:r>
    </w:p>
    <w:p>
      <w:pPr>
        <w:spacing w:after="60"/>
      </w:pPr>
      <w:r>
        <w:rPr>
          <w:rFonts w:ascii="Microsoft YaHei" w:cs="Microsoft YaHei" w:eastAsia="Microsoft YaHei" w:hAnsi="Microsoft YaHei"/>
          <w:b/>
          <w:bCs/>
          <w:i w:val="false"/>
          <w:iCs w:val="false"/>
          <w:color w:val="1E293B"/>
          <w:sz w:val="22"/>
          <w:szCs w:val="22"/>
        </w:rPr>
        <w:t xml:space="preserve">技术标签：</w:t>
      </w:r>
      <w:r>
        <w:rPr>
          <w:rFonts w:ascii="Microsoft YaHei" w:cs="Microsoft YaHei" w:eastAsia="Microsoft YaHei" w:hAnsi="Microsoft YaHei"/>
          <w:b w:val="false"/>
          <w:bCs w:val="false"/>
          <w:i w:val="false"/>
          <w:iCs w:val="false"/>
          <w:color w:val="0369A1"/>
          <w:sz w:val="21"/>
          <w:szCs w:val="21"/>
        </w:rPr>
        <w:t xml:space="preserve">01.04.01 | 04.01.01 | 05.02.01</w:t>
      </w:r>
    </w:p>
    <w:p>
      <w:pPr>
        <w:spacing w:after="40"/>
        <w:ind w:left="200"/>
      </w:pPr>
      <w:r>
        <w:rPr>
          <w:rFonts w:ascii="Microsoft YaHei" w:cs="Microsoft YaHei" w:eastAsia="Microsoft YaHei" w:hAnsi="Microsoft YaHei"/>
          <w:b w:val="false"/>
          <w:bCs w:val="false"/>
          <w:i w:val="false"/>
          <w:iCs w:val="false"/>
          <w:color w:val="475569"/>
          <w:sz w:val="20"/>
          <w:szCs w:val="20"/>
        </w:rPr>
        <w:t xml:space="preserve">AGV自动驾驶小车承担20%物流搬运，实现少人化与人性化。</w:t>
      </w:r>
    </w:p>
    <w:p>
      <w:pPr>
        <w:spacing w:after="40"/>
        <w:ind w:left="200"/>
      </w:pPr>
      <w:r>
        <w:rPr>
          <w:rFonts w:ascii="Microsoft YaHei" w:cs="Microsoft YaHei" w:eastAsia="Microsoft YaHei" w:hAnsi="Microsoft YaHei"/>
          <w:b w:val="false"/>
          <w:bCs w:val="false"/>
          <w:i w:val="false"/>
          <w:iCs w:val="false"/>
          <w:color w:val="475569"/>
          <w:sz w:val="20"/>
          <w:szCs w:val="20"/>
        </w:rPr>
        <w:t xml:space="preserve">AI控制塔统一调度物料配送，零件按订单预先排序，产线更紧凑。</w:t>
      </w:r>
    </w:p>
    <w:p>
      <w:pPr>
        <w:spacing w:after="40"/>
        <w:ind w:left="200"/>
      </w:pPr>
      <w:r>
        <w:rPr>
          <w:rFonts w:ascii="Microsoft YaHei" w:cs="Microsoft YaHei" w:eastAsia="Microsoft YaHei" w:hAnsi="Microsoft YaHei"/>
          <w:b w:val="false"/>
          <w:bCs w:val="false"/>
          <w:i w:val="false"/>
          <w:iCs w:val="false"/>
          <w:color w:val="475569"/>
          <w:sz w:val="20"/>
          <w:szCs w:val="20"/>
        </w:rPr>
        <w:t xml:space="preserve">基于生产队列与订单配置，动态优化物料配送顺序与AGV路径。</w:t>
      </w:r>
    </w:p>
    <w:p>
      <w:pPr>
        <w:spacing w:after="60"/>
      </w:pPr>
      <w:r>
        <w:rPr>
          <w:rFonts w:ascii="Microsoft YaHei" w:cs="Microsoft YaHei" w:eastAsia="Microsoft YaHei" w:hAnsi="Microsoft YaHei"/>
          <w:b w:val="false"/>
          <w:bCs w:val="false"/>
          <w:i w:val="false"/>
          <w:iCs w:val="false"/>
          <w:color w:val="1E293B"/>
          <w:sz w:val="21"/>
          <w:szCs w:val="21"/>
        </w:rPr>
        <w:t xml:space="preserve">关键数据：📊 核心成效：物料搬运生产率↑67%，超10公斤大件100%全自动搬运。</w:t>
      </w:r>
    </w:p>
    <w:p>
      <w:pPr>
        <w:pStyle w:val="Heading3"/>
        <w:spacing w:after="100"/>
      </w:pPr>
      <w:r>
        <w:rPr>
          <w:rFonts w:ascii="Microsoft YaHei" w:cs="Microsoft YaHei" w:eastAsia="Microsoft YaHei" w:hAnsi="Microsoft YaHei"/>
          <w:b/>
          <w:bCs/>
          <w:i w:val="false"/>
          <w:iCs w:val="false"/>
          <w:color w:val="1E293B"/>
          <w:sz w:val="26"/>
          <w:szCs w:val="26"/>
        </w:rPr>
        <w:t xml:space="preserve">④ 车联网闭环质量控制 核心用例</w:t>
      </w:r>
    </w:p>
    <w:p>
      <w:pPr>
        <w:spacing w:after="80"/>
      </w:pPr>
      <w:r>
        <w:rPr>
          <w:rFonts w:ascii="Microsoft YaHei" w:cs="Microsoft YaHei" w:eastAsia="Microsoft YaHei" w:hAnsi="Microsoft YaHei"/>
          <w:b/>
          <w:bCs/>
          <w:i w:val="false"/>
          <w:iCs w:val="false"/>
          <w:color w:val="DC2626"/>
          <w:sz w:val="22"/>
          <w:szCs w:val="22"/>
        </w:rPr>
        <w:t xml:space="preserve">业务痛点：</w:t>
      </w:r>
      <w:r>
        <w:rPr>
          <w:rFonts w:ascii="Microsoft YaHei" w:cs="Microsoft YaHei" w:eastAsia="Microsoft YaHei" w:hAnsi="Microsoft YaHei"/>
          <w:b w:val="false"/>
          <w:bCs w:val="false"/>
          <w:i w:val="false"/>
          <w:iCs w:val="false"/>
          <w:color w:val="DC2626"/>
          <w:sz w:val="21"/>
          <w:szCs w:val="21"/>
        </w:rPr>
        <w:t xml:space="preserve">⚠️ 痛点：三电、智能驾驶等关键零部件质量追溯难，螺栓扭矩等过程参数缺乏全生命周期记录，缺陷根因难定位。</w:t>
      </w:r>
    </w:p>
    <w:p>
      <w:pPr>
        <w:spacing w:after="80"/>
      </w:pPr>
      <w:r>
        <w:rPr>
          <w:rFonts w:ascii="Microsoft YaHei" w:cs="Microsoft YaHei" w:eastAsia="Microsoft YaHei" w:hAnsi="Microsoft YaHei"/>
          <w:b/>
          <w:bCs/>
          <w:i w:val="false"/>
          <w:iCs w:val="false"/>
          <w:color w:val="1A56DB"/>
          <w:sz w:val="22"/>
          <w:szCs w:val="22"/>
        </w:rPr>
        <w:t xml:space="preserve">解决思路：</w:t>
      </w:r>
      <w:r>
        <w:rPr>
          <w:rFonts w:ascii="Microsoft YaHei" w:cs="Microsoft YaHei" w:eastAsia="Microsoft YaHei" w:hAnsi="Microsoft YaHei"/>
          <w:b w:val="false"/>
          <w:bCs w:val="false"/>
          <w:i w:val="false"/>
          <w:iCs w:val="false"/>
          <w:color w:val="1A56DB"/>
          <w:sz w:val="21"/>
          <w:szCs w:val="21"/>
        </w:rPr>
        <w:t xml:space="preserve">💡 方案：智能扭矩管理系统对数千关键紧固点全数据采集终身可追溯，关键零部件二维码全生命周期追溯，AI视觉检测毫米级精度，生产数据全程上云。</w:t>
      </w:r>
    </w:p>
    <w:p>
      <w:pPr>
        <w:spacing w:after="80"/>
      </w:pPr>
      <w:r>
        <w:rPr>
          <w:rFonts w:ascii="Microsoft YaHei" w:cs="Microsoft YaHei" w:eastAsia="Microsoft YaHei" w:hAnsi="Microsoft YaHei"/>
          <w:b/>
          <w:bCs/>
          <w:i w:val="false"/>
          <w:iCs w:val="false"/>
          <w:color w:val="1E293B"/>
          <w:sz w:val="22"/>
          <w:szCs w:val="22"/>
        </w:rPr>
        <w:t xml:space="preserve">实施路径：</w:t>
      </w:r>
      <w:r>
        <w:rPr>
          <w:rFonts w:ascii="Microsoft YaHei" w:cs="Microsoft YaHei" w:eastAsia="Microsoft YaHei" w:hAnsi="Microsoft YaHei"/>
          <w:b w:val="false"/>
          <w:bCs w:val="false"/>
          <w:i w:val="false"/>
          <w:iCs w:val="false"/>
          <w:color w:val="1E293B"/>
          <w:sz w:val="21"/>
          <w:szCs w:val="21"/>
        </w:rPr>
        <w:t xml:space="preserve">Step 1 — AI视觉质检：600+机器人搭载AI视觉检测，毫秒级响应毫米级精度 Step 2 — 智能扭矩追溯：数千紧固点扭矩全数据采集，终身可追溯 Step 3 — 二维码追溯：三电/智能驾驶模块出厂二维码，全生命周期可追溯 Step 4 — 数据上云：涂胶轨迹、轮胎安装、螺丝扭力全程记录 Step 5 — 闭环纠偏：超声波探伤、3D视觉跟踪无损工艺，一次合格率98.5%</w:t>
      </w:r>
    </w:p>
    <w:p>
      <w:pPr>
        <w:spacing w:after="60"/>
      </w:pPr>
      <w:r>
        <w:rPr>
          <w:rFonts w:ascii="Microsoft YaHei" w:cs="Microsoft YaHei" w:eastAsia="Microsoft YaHei" w:hAnsi="Microsoft YaHei"/>
          <w:b/>
          <w:bCs/>
          <w:i w:val="false"/>
          <w:iCs w:val="false"/>
          <w:color w:val="1E293B"/>
          <w:sz w:val="22"/>
          <w:szCs w:val="22"/>
        </w:rPr>
        <w:t xml:space="preserve">技术标签：</w:t>
      </w:r>
      <w:r>
        <w:rPr>
          <w:rFonts w:ascii="Microsoft YaHei" w:cs="Microsoft YaHei" w:eastAsia="Microsoft YaHei" w:hAnsi="Microsoft YaHei"/>
          <w:b w:val="false"/>
          <w:bCs w:val="false"/>
          <w:i w:val="false"/>
          <w:iCs w:val="false"/>
          <w:color w:val="0369A1"/>
          <w:sz w:val="21"/>
          <w:szCs w:val="21"/>
        </w:rPr>
        <w:t xml:space="preserve">01.03.02 | 07.03.01 | 05.02.03</w:t>
      </w:r>
    </w:p>
    <w:p>
      <w:pPr>
        <w:spacing w:after="40"/>
        <w:ind w:left="200"/>
      </w:pPr>
      <w:r>
        <w:rPr>
          <w:rFonts w:ascii="Microsoft YaHei" w:cs="Microsoft YaHei" w:eastAsia="Microsoft YaHei" w:hAnsi="Microsoft YaHei"/>
          <w:b w:val="false"/>
          <w:bCs w:val="false"/>
          <w:i w:val="false"/>
          <w:iCs w:val="false"/>
          <w:color w:val="475569"/>
          <w:sz w:val="20"/>
          <w:szCs w:val="20"/>
        </w:rPr>
        <w:t xml:space="preserve">工业相机与AI算法实现零件全流程在线检测，毫秒级响应、毫米级精度。</w:t>
      </w:r>
    </w:p>
    <w:p>
      <w:pPr>
        <w:spacing w:after="40"/>
        <w:ind w:left="200"/>
      </w:pPr>
      <w:r>
        <w:rPr>
          <w:rFonts w:ascii="Microsoft YaHei" w:cs="Microsoft YaHei" w:eastAsia="Microsoft YaHei" w:hAnsi="Microsoft YaHei"/>
          <w:b w:val="false"/>
          <w:bCs w:val="false"/>
          <w:i w:val="false"/>
          <w:iCs w:val="false"/>
          <w:color w:val="475569"/>
          <w:sz w:val="20"/>
          <w:szCs w:val="20"/>
        </w:rPr>
        <w:t xml:space="preserve">生产数据全程上云，车辆生产数据全程可追溯，支撑质量与售后服务。</w:t>
      </w:r>
    </w:p>
    <w:p>
      <w:pPr>
        <w:spacing w:after="40"/>
        <w:ind w:left="200"/>
      </w:pPr>
      <w:r>
        <w:rPr>
          <w:rFonts w:ascii="Microsoft YaHei" w:cs="Microsoft YaHei" w:eastAsia="Microsoft YaHei" w:hAnsi="Microsoft YaHei"/>
          <w:b w:val="false"/>
          <w:bCs w:val="false"/>
          <w:i w:val="false"/>
          <w:iCs w:val="false"/>
          <w:color w:val="475569"/>
          <w:sz w:val="20"/>
          <w:szCs w:val="20"/>
        </w:rPr>
        <w:t xml:space="preserve">智能扭矩管理系统对整车数千关键紧固点全数据采集与终身可追溯管理。</w:t>
      </w:r>
    </w:p>
    <w:p>
      <w:pPr>
        <w:spacing w:after="60"/>
      </w:pPr>
      <w:r>
        <w:rPr>
          <w:rFonts w:ascii="Microsoft YaHei" w:cs="Microsoft YaHei" w:eastAsia="Microsoft YaHei" w:hAnsi="Microsoft YaHei"/>
          <w:b w:val="false"/>
          <w:bCs w:val="false"/>
          <w:i w:val="false"/>
          <w:iCs w:val="false"/>
          <w:color w:val="1E293B"/>
          <w:sz w:val="21"/>
          <w:szCs w:val="21"/>
        </w:rPr>
        <w:t xml:space="preserve">关键数据：📊 核心成效：一次通过率↑8%，一次性合格率98.5%，全程可追溯。</w:t>
      </w:r>
    </w:p>
    <w:p>
      <w:pPr>
        <w:pStyle w:val="Heading3"/>
        <w:spacing w:after="100"/>
      </w:pPr>
      <w:r>
        <w:rPr>
          <w:rFonts w:ascii="Microsoft YaHei" w:cs="Microsoft YaHei" w:eastAsia="Microsoft YaHei" w:hAnsi="Microsoft YaHei"/>
          <w:b/>
          <w:bCs/>
          <w:i w:val="false"/>
          <w:iCs w:val="false"/>
          <w:color w:val="1E293B"/>
          <w:sz w:val="26"/>
          <w:szCs w:val="26"/>
        </w:rPr>
        <w:t xml:space="preserve">? 智能微电网可持续制造 核心用例</w:t>
      </w:r>
    </w:p>
    <w:p>
      <w:pPr>
        <w:spacing w:after="80"/>
      </w:pPr>
      <w:r>
        <w:rPr>
          <w:rFonts w:ascii="Microsoft YaHei" w:cs="Microsoft YaHei" w:eastAsia="Microsoft YaHei" w:hAnsi="Microsoft YaHei"/>
          <w:b/>
          <w:bCs/>
          <w:i w:val="false"/>
          <w:iCs w:val="false"/>
          <w:color w:val="DC2626"/>
          <w:sz w:val="22"/>
          <w:szCs w:val="22"/>
        </w:rPr>
        <w:t xml:space="preserve">业务痛点：</w:t>
      </w:r>
      <w:r>
        <w:rPr>
          <w:rFonts w:ascii="Microsoft YaHei" w:cs="Microsoft YaHei" w:eastAsia="Microsoft YaHei" w:hAnsi="Microsoft YaHei"/>
          <w:b w:val="false"/>
          <w:bCs w:val="false"/>
          <w:i w:val="false"/>
          <w:iCs w:val="false"/>
          <w:color w:val="DC2626"/>
          <w:sz w:val="21"/>
          <w:szCs w:val="21"/>
        </w:rPr>
        <w:t xml:space="preserve">⚠️ 痛点：整车制造能耗高、碳排放压力大，面对欧盟等市场碳足迹监管要求，需提升绿电自给与能源管理能力。</w:t>
      </w:r>
    </w:p>
    <w:p>
      <w:pPr>
        <w:spacing w:after="80"/>
      </w:pPr>
      <w:r>
        <w:rPr>
          <w:rFonts w:ascii="Microsoft YaHei" w:cs="Microsoft YaHei" w:eastAsia="Microsoft YaHei" w:hAnsi="Microsoft YaHei"/>
          <w:b/>
          <w:bCs/>
          <w:i w:val="false"/>
          <w:iCs w:val="false"/>
          <w:color w:val="1A56DB"/>
          <w:sz w:val="22"/>
          <w:szCs w:val="22"/>
        </w:rPr>
        <w:t xml:space="preserve">解决思路：</w:t>
      </w:r>
      <w:r>
        <w:rPr>
          <w:rFonts w:ascii="Microsoft YaHei" w:cs="Microsoft YaHei" w:eastAsia="Microsoft YaHei" w:hAnsi="Microsoft YaHei"/>
          <w:b w:val="false"/>
          <w:bCs w:val="false"/>
          <w:i w:val="false"/>
          <w:iCs w:val="false"/>
          <w:color w:val="1A56DB"/>
          <w:sz w:val="21"/>
          <w:szCs w:val="21"/>
        </w:rPr>
        <w:t xml:space="preserve">💡 方案：分布式光伏+国内最大V2G微电网，年发电超2000万千瓦时满足50%用电，光伏+储能+V2G一体化能源管理，2023年获碳中和认证。</w:t>
      </w:r>
    </w:p>
    <w:p>
      <w:pPr>
        <w:spacing w:after="80"/>
      </w:pPr>
      <w:r>
        <w:rPr>
          <w:rFonts w:ascii="Microsoft YaHei" w:cs="Microsoft YaHei" w:eastAsia="Microsoft YaHei" w:hAnsi="Microsoft YaHei"/>
          <w:b/>
          <w:bCs/>
          <w:i w:val="false"/>
          <w:iCs w:val="false"/>
          <w:color w:val="1E293B"/>
          <w:sz w:val="22"/>
          <w:szCs w:val="22"/>
        </w:rPr>
        <w:t xml:space="preserve">实施路径：</w:t>
      </w:r>
      <w:r>
        <w:rPr>
          <w:rFonts w:ascii="Microsoft YaHei" w:cs="Microsoft YaHei" w:eastAsia="Microsoft YaHei" w:hAnsi="Microsoft YaHei"/>
          <w:b w:val="false"/>
          <w:bCs w:val="false"/>
          <w:i w:val="false"/>
          <w:iCs w:val="false"/>
          <w:color w:val="1E293B"/>
          <w:sz w:val="21"/>
          <w:szCs w:val="21"/>
        </w:rPr>
        <w:t xml:space="preserve">Step 1 — 光伏铺设：车间屋顶分布式光伏，年发电量超2000万千瓦时 Step 2 — 绿电自用：满足工厂50%日常用电，发电优先自用、余电上网 Step 3 — V2G微电网：建成国内最大V2G微电网，电动车储能参与调峰 Step 4 — 能源优化：光伏+储能+V2G一体化管理，能源双向流动 Step 5 — 零碳认证：2023年获碳中和认证，成为零碳工厂</w:t>
      </w:r>
    </w:p>
    <w:p>
      <w:pPr>
        <w:spacing w:after="60"/>
      </w:pPr>
      <w:r>
        <w:rPr>
          <w:rFonts w:ascii="Microsoft YaHei" w:cs="Microsoft YaHei" w:eastAsia="Microsoft YaHei" w:hAnsi="Microsoft YaHei"/>
          <w:b/>
          <w:bCs/>
          <w:i w:val="false"/>
          <w:iCs w:val="false"/>
          <w:color w:val="1E293B"/>
          <w:sz w:val="22"/>
          <w:szCs w:val="22"/>
        </w:rPr>
        <w:t xml:space="preserve">技术标签：</w:t>
      </w:r>
      <w:r>
        <w:rPr>
          <w:rFonts w:ascii="Microsoft YaHei" w:cs="Microsoft YaHei" w:eastAsia="Microsoft YaHei" w:hAnsi="Microsoft YaHei"/>
          <w:b w:val="false"/>
          <w:bCs w:val="false"/>
          <w:i w:val="false"/>
          <w:iCs w:val="false"/>
          <w:color w:val="0369A1"/>
          <w:sz w:val="21"/>
          <w:szCs w:val="21"/>
        </w:rPr>
        <w:t xml:space="preserve">09.03.01 | 09.02.01 | 02.03.03</w:t>
      </w:r>
    </w:p>
    <w:p>
      <w:pPr>
        <w:spacing w:after="40"/>
        <w:ind w:left="200"/>
      </w:pPr>
      <w:r>
        <w:rPr>
          <w:rFonts w:ascii="Microsoft YaHei" w:cs="Microsoft YaHei" w:eastAsia="Microsoft YaHei" w:hAnsi="Microsoft YaHei"/>
          <w:b w:val="false"/>
          <w:bCs w:val="false"/>
          <w:i w:val="false"/>
          <w:iCs w:val="false"/>
          <w:color w:val="475569"/>
          <w:sz w:val="20"/>
          <w:szCs w:val="20"/>
        </w:rPr>
        <w:t xml:space="preserve">国内规模最大V2G微电网系统，利用电动车储能参与电网调峰。</w:t>
      </w:r>
    </w:p>
    <w:p>
      <w:pPr>
        <w:spacing w:after="40"/>
        <w:ind w:left="200"/>
      </w:pPr>
      <w:r>
        <w:rPr>
          <w:rFonts w:ascii="Microsoft YaHei" w:cs="Microsoft YaHei" w:eastAsia="Microsoft YaHei" w:hAnsi="Microsoft YaHei"/>
          <w:b w:val="false"/>
          <w:bCs w:val="false"/>
          <w:i w:val="false"/>
          <w:iCs w:val="false"/>
          <w:color w:val="475569"/>
          <w:sz w:val="20"/>
          <w:szCs w:val="20"/>
        </w:rPr>
        <w:t xml:space="preserve">零碳工厂认证为产品出口提供合规支撑，降低欧盟碳足迹监管的市场准入成本。</w:t>
      </w:r>
    </w:p>
    <w:p>
      <w:pPr>
        <w:spacing w:after="40"/>
        <w:ind w:left="200"/>
      </w:pPr>
      <w:r>
        <w:rPr>
          <w:rFonts w:ascii="Microsoft YaHei" w:cs="Microsoft YaHei" w:eastAsia="Microsoft YaHei" w:hAnsi="Microsoft YaHei"/>
          <w:b w:val="false"/>
          <w:bCs w:val="false"/>
          <w:i w:val="false"/>
          <w:iCs w:val="false"/>
          <w:color w:val="475569"/>
          <w:sz w:val="20"/>
          <w:szCs w:val="20"/>
        </w:rPr>
        <w:t xml:space="preserve">光伏+储能+V2G一体化能源管理，推动工厂向分布式能源参与主体转型。</w:t>
      </w:r>
    </w:p>
    <w:p>
      <w:pPr>
        <w:spacing w:after="60"/>
      </w:pPr>
      <w:r>
        <w:rPr>
          <w:rFonts w:ascii="Microsoft YaHei" w:cs="Microsoft YaHei" w:eastAsia="Microsoft YaHei" w:hAnsi="Microsoft YaHei"/>
          <w:b w:val="false"/>
          <w:bCs w:val="false"/>
          <w:i w:val="false"/>
          <w:iCs w:val="false"/>
          <w:color w:val="1E293B"/>
          <w:sz w:val="21"/>
          <w:szCs w:val="21"/>
        </w:rPr>
        <w:t xml:space="preserve">关键数据：📊 核心成效：能耗↓48%，单车生产能耗↓12.4%，单车碳排放↓27%。</w:t>
      </w:r>
    </w:p>
    <w:p>
      <w:pPr>
        <w:pStyle w:val="Heading2"/>
        <w:spacing w:after="100"/>
      </w:pPr>
      <w:r>
        <w:rPr>
          <w:rFonts w:ascii="Microsoft YaHei" w:cs="Microsoft YaHei" w:eastAsia="Microsoft YaHei" w:hAnsi="Microsoft YaHei"/>
          <w:b/>
          <w:bCs/>
          <w:i w:val="false"/>
          <w:iCs w:val="false"/>
          <w:color w:val="1A56DB"/>
          <w:sz w:val="30"/>
          <w:szCs w:val="30"/>
        </w:rPr>
        <w:t xml:space="preserve">绩效改善总览</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0"/>
        <w:gridCol w:w="2000"/>
        <w:gridCol w:w="4026"/>
      </w:tblGrid>
      <w:tr>
        <w:tc>
          <w:tcPr>
            <w:tcW w:type="dxa" w:w="3000"/>
            <w:tcBorders>
              <w:top w:val="single" w:color="CCCCCC" w:sz="1"/>
              <w:left w:val="single" w:color="CCCCCC" w:sz="1"/>
              <w:bottom w:val="single" w:color="CCCCCC" w:sz="1"/>
              <w:right w:val="single" w:color="CCCCCC" w:sz="1"/>
            </w:tcBorders>
            <w:shd w:fill="2E7D32" w:val="clear"/>
            <w:tcMar>
              <w:top w:type="dxa" w:w="60"/>
              <w:left w:type="dxa" w:w="120"/>
              <w:bottom w:type="dxa" w:w="60"/>
              <w:right w:type="dxa" w:w="120"/>
            </w:tcMar>
          </w:tcPr>
          <w:p>
            <w:r>
              <w:rPr>
                <w:rFonts w:ascii="Microsoft YaHei" w:cs="Microsoft YaHei" w:eastAsia="Microsoft YaHei" w:hAnsi="Microsoft YaHei"/>
                <w:b/>
                <w:bCs/>
                <w:color w:val="FFFFFF"/>
                <w:sz w:val="21"/>
                <w:szCs w:val="21"/>
              </w:rPr>
              <w:t xml:space="preserve">指标</w:t>
            </w:r>
          </w:p>
        </w:tc>
        <w:tc>
          <w:tcPr>
            <w:tcW w:type="dxa" w:w="2000"/>
            <w:tcBorders>
              <w:top w:val="single" w:color="CCCCCC" w:sz="1"/>
              <w:left w:val="single" w:color="CCCCCC" w:sz="1"/>
              <w:bottom w:val="single" w:color="CCCCCC" w:sz="1"/>
              <w:right w:val="single" w:color="CCCCCC" w:sz="1"/>
            </w:tcBorders>
            <w:shd w:fill="2E7D32" w:val="clear"/>
            <w:tcMar>
              <w:top w:type="dxa" w:w="60"/>
              <w:left w:type="dxa" w:w="120"/>
              <w:bottom w:type="dxa" w:w="60"/>
              <w:right w:type="dxa" w:w="120"/>
            </w:tcMar>
          </w:tcPr>
          <w:p>
            <w:pPr>
              <w:jc w:val="center"/>
            </w:pPr>
            <w:r>
              <w:rPr>
                <w:rFonts w:ascii="Arial" w:cs="Arial" w:eastAsia="Arial" w:hAnsi="Arial"/>
                <w:b/>
                <w:bCs/>
                <w:color w:val="FFFFFF"/>
                <w:sz w:val="21"/>
                <w:szCs w:val="21"/>
              </w:rPr>
              <w:t xml:space="preserve">改善</w:t>
            </w:r>
          </w:p>
        </w:tc>
        <w:tc>
          <w:tcPr>
            <w:tcW w:type="dxa" w:w="4026"/>
            <w:tcBorders>
              <w:top w:val="single" w:color="CCCCCC" w:sz="1"/>
              <w:left w:val="single" w:color="CCCCCC" w:sz="1"/>
              <w:bottom w:val="single" w:color="CCCCCC" w:sz="1"/>
              <w:right w:val="single" w:color="CCCCCC" w:sz="1"/>
            </w:tcBorders>
            <w:shd w:fill="2E7D32" w:val="clear"/>
            <w:tcMar>
              <w:top w:type="dxa" w:w="60"/>
              <w:left w:type="dxa" w:w="120"/>
              <w:bottom w:type="dxa" w:w="60"/>
              <w:right w:type="dxa" w:w="120"/>
            </w:tcMar>
          </w:tcPr>
          <w:p>
            <w:r>
              <w:rPr>
                <w:rFonts w:ascii="Microsoft YaHei" w:cs="Microsoft YaHei" w:eastAsia="Microsoft YaHei" w:hAnsi="Microsoft YaHei"/>
                <w:b/>
                <w:bCs/>
                <w:color w:val="FFFFFF"/>
                <w:sz w:val="21"/>
                <w:szCs w:val="21"/>
              </w:rPr>
              <w:t xml:space="preserve">技术手段</w:t>
            </w:r>
          </w:p>
        </w:tc>
      </w:tr>
      <w:tr>
        <w:tc>
          <w:tcPr>
            <w:tcW w:type="dxa" w:w="3000"/>
            <w:tcBorders>
              <w:top w:val="single" w:color="CCCCCC" w:sz="1"/>
              <w:left w:val="single" w:color="CCCCCC" w:sz="1"/>
              <w:bottom w:val="single" w:color="CCCCCC" w:sz="1"/>
              <w:right w:val="single" w:color="CCCCCC" w:sz="1"/>
            </w:tcBorders>
            <w:tcMar>
              <w:top w:type="dxa" w:w="60"/>
              <w:left w:type="dxa" w:w="120"/>
              <w:bottom w:type="dxa" w:w="60"/>
              <w:right w:type="dxa" w:w="120"/>
            </w:tcMar>
          </w:tcPr>
          <w:p>
            <w:r>
              <w:rPr>
                <w:rFonts w:ascii="Microsoft YaHei" w:cs="Microsoft YaHei" w:eastAsia="Microsoft YaHei" w:hAnsi="Microsoft YaHei"/>
                <w:b w:val="false"/>
                <w:bCs w:val="false"/>
                <w:color w:val="1E293B"/>
                <w:sz w:val="21"/>
                <w:szCs w:val="21"/>
              </w:rPr>
              <w:t xml:space="preserve">订单到交付</w:t>
            </w:r>
          </w:p>
        </w:tc>
        <w:tc>
          <w:tcPr>
            <w:tcW w:type="dxa" w:w="2000"/>
            <w:tcBorders>
              <w:top w:val="single" w:color="CCCCCC" w:sz="1"/>
              <w:left w:val="single" w:color="CCCCCC" w:sz="1"/>
              <w:bottom w:val="single" w:color="CCCCCC" w:sz="1"/>
              <w:right w:val="single" w:color="CCCCCC" w:sz="1"/>
            </w:tcBorders>
            <w:tcMar>
              <w:top w:type="dxa" w:w="60"/>
              <w:left w:type="dxa" w:w="120"/>
              <w:bottom w:type="dxa" w:w="60"/>
              <w:right w:type="dxa" w:w="120"/>
            </w:tcMar>
          </w:tcPr>
          <w:p>
            <w:pPr>
              <w:jc w:val="center"/>
            </w:pPr>
            <w:r>
              <w:rPr>
                <w:rFonts w:ascii="Arial" w:cs="Arial" w:eastAsia="Arial" w:hAnsi="Arial"/>
                <w:b/>
                <w:bCs/>
                <w:color w:val="2E7D32"/>
                <w:sz w:val="24"/>
                <w:szCs w:val="24"/>
              </w:rPr>
              <w:t xml:space="preserve">↓ 30%</w:t>
            </w:r>
          </w:p>
        </w:tc>
        <w:tc>
          <w:tcPr>
            <w:tcW w:type="dxa" w:w="4026"/>
            <w:tcBorders>
              <w:top w:val="single" w:color="CCCCCC" w:sz="1"/>
              <w:left w:val="single" w:color="CCCCCC" w:sz="1"/>
              <w:bottom w:val="single" w:color="CCCCCC" w:sz="1"/>
              <w:right w:val="single" w:color="CCCCCC" w:sz="1"/>
            </w:tcBorders>
            <w:tcMar>
              <w:top w:type="dxa" w:w="60"/>
              <w:left w:type="dxa" w:w="120"/>
              <w:bottom w:type="dxa" w:w="60"/>
              <w:right w:type="dxa" w:w="120"/>
            </w:tcMar>
          </w:tcPr>
          <w:p>
            <w:r>
              <w:rPr>
                <w:rFonts w:ascii="Microsoft YaHei" w:cs="Microsoft YaHei" w:eastAsia="Microsoft YaHei" w:hAnsi="Microsoft YaHei"/>
                <w:b w:val="false"/>
                <w:bCs w:val="false"/>
                <w:color w:val="64748B"/>
                <w:sz w:val="20"/>
                <w:szCs w:val="20"/>
              </w:rPr>
              <w:t xml:space="preserve">客户直连制造定制平台</w:t>
            </w:r>
          </w:p>
        </w:tc>
      </w:tr>
      <w:tr>
        <w:tc>
          <w:tcPr>
            <w:tcW w:type="dxa" w:w="3000"/>
            <w:tcBorders>
              <w:top w:val="single" w:color="CCCCCC" w:sz="1"/>
              <w:left w:val="single" w:color="CCCCCC" w:sz="1"/>
              <w:bottom w:val="single" w:color="CCCCCC" w:sz="1"/>
              <w:right w:val="single" w:color="CCCCCC" w:sz="1"/>
            </w:tcBorders>
            <w:tcMar>
              <w:top w:type="dxa" w:w="60"/>
              <w:left w:type="dxa" w:w="120"/>
              <w:bottom w:type="dxa" w:w="60"/>
              <w:right w:type="dxa" w:w="120"/>
            </w:tcMar>
          </w:tcPr>
          <w:p>
            <w:r>
              <w:rPr>
                <w:rFonts w:ascii="Microsoft YaHei" w:cs="Microsoft YaHei" w:eastAsia="Microsoft YaHei" w:hAnsi="Microsoft YaHei"/>
                <w:b w:val="false"/>
                <w:bCs w:val="false"/>
                <w:color w:val="1E293B"/>
                <w:sz w:val="21"/>
                <w:szCs w:val="21"/>
              </w:rPr>
              <w:t xml:space="preserve">换线时间</w:t>
            </w:r>
          </w:p>
        </w:tc>
        <w:tc>
          <w:tcPr>
            <w:tcW w:type="dxa" w:w="2000"/>
            <w:tcBorders>
              <w:top w:val="single" w:color="CCCCCC" w:sz="1"/>
              <w:left w:val="single" w:color="CCCCCC" w:sz="1"/>
              <w:bottom w:val="single" w:color="CCCCCC" w:sz="1"/>
              <w:right w:val="single" w:color="CCCCCC" w:sz="1"/>
            </w:tcBorders>
            <w:tcMar>
              <w:top w:type="dxa" w:w="60"/>
              <w:left w:type="dxa" w:w="120"/>
              <w:bottom w:type="dxa" w:w="60"/>
              <w:right w:type="dxa" w:w="120"/>
            </w:tcMar>
          </w:tcPr>
          <w:p>
            <w:pPr>
              <w:jc w:val="center"/>
            </w:pPr>
            <w:r>
              <w:rPr>
                <w:rFonts w:ascii="Arial" w:cs="Arial" w:eastAsia="Arial" w:hAnsi="Arial"/>
                <w:b/>
                <w:bCs/>
                <w:color w:val="2E7D32"/>
                <w:sz w:val="24"/>
                <w:szCs w:val="24"/>
              </w:rPr>
              <w:t xml:space="preserve">↓ 67%</w:t>
            </w:r>
          </w:p>
        </w:tc>
        <w:tc>
          <w:tcPr>
            <w:tcW w:type="dxa" w:w="4026"/>
            <w:tcBorders>
              <w:top w:val="single" w:color="CCCCCC" w:sz="1"/>
              <w:left w:val="single" w:color="CCCCCC" w:sz="1"/>
              <w:bottom w:val="single" w:color="CCCCCC" w:sz="1"/>
              <w:right w:val="single" w:color="CCCCCC" w:sz="1"/>
            </w:tcBorders>
            <w:tcMar>
              <w:top w:type="dxa" w:w="60"/>
              <w:left w:type="dxa" w:w="120"/>
              <w:bottom w:type="dxa" w:w="60"/>
              <w:right w:type="dxa" w:w="120"/>
            </w:tcMar>
          </w:tcPr>
          <w:p>
            <w:r>
              <w:rPr>
                <w:rFonts w:ascii="Microsoft YaHei" w:cs="Microsoft YaHei" w:eastAsia="Microsoft YaHei" w:hAnsi="Microsoft YaHei"/>
                <w:b w:val="false"/>
                <w:bCs w:val="false"/>
                <w:color w:val="64748B"/>
                <w:sz w:val="20"/>
                <w:szCs w:val="20"/>
              </w:rPr>
              <w:t xml:space="preserve">AI柔性自动化</w:t>
            </w:r>
          </w:p>
        </w:tc>
      </w:tr>
      <w:tr>
        <w:tc>
          <w:tcPr>
            <w:tcW w:type="dxa" w:w="3000"/>
            <w:tcBorders>
              <w:top w:val="single" w:color="CCCCCC" w:sz="1"/>
              <w:left w:val="single" w:color="CCCCCC" w:sz="1"/>
              <w:bottom w:val="single" w:color="CCCCCC" w:sz="1"/>
              <w:right w:val="single" w:color="CCCCCC" w:sz="1"/>
            </w:tcBorders>
            <w:tcMar>
              <w:top w:type="dxa" w:w="60"/>
              <w:left w:type="dxa" w:w="120"/>
              <w:bottom w:type="dxa" w:w="60"/>
              <w:right w:type="dxa" w:w="120"/>
            </w:tcMar>
          </w:tcPr>
          <w:p>
            <w:r>
              <w:rPr>
                <w:rFonts w:ascii="Microsoft YaHei" w:cs="Microsoft YaHei" w:eastAsia="Microsoft YaHei" w:hAnsi="Microsoft YaHei"/>
                <w:b w:val="false"/>
                <w:bCs w:val="false"/>
                <w:color w:val="1E293B"/>
                <w:sz w:val="21"/>
                <w:szCs w:val="21"/>
              </w:rPr>
              <w:t xml:space="preserve">物料搬运生产率</w:t>
            </w:r>
          </w:p>
        </w:tc>
        <w:tc>
          <w:tcPr>
            <w:tcW w:type="dxa" w:w="2000"/>
            <w:tcBorders>
              <w:top w:val="single" w:color="CCCCCC" w:sz="1"/>
              <w:left w:val="single" w:color="CCCCCC" w:sz="1"/>
              <w:bottom w:val="single" w:color="CCCCCC" w:sz="1"/>
              <w:right w:val="single" w:color="CCCCCC" w:sz="1"/>
            </w:tcBorders>
            <w:tcMar>
              <w:top w:type="dxa" w:w="60"/>
              <w:left w:type="dxa" w:w="120"/>
              <w:bottom w:type="dxa" w:w="60"/>
              <w:right w:type="dxa" w:w="120"/>
            </w:tcMar>
          </w:tcPr>
          <w:p>
            <w:pPr>
              <w:jc w:val="center"/>
            </w:pPr>
            <w:r>
              <w:rPr>
                <w:rFonts w:ascii="Arial" w:cs="Arial" w:eastAsia="Arial" w:hAnsi="Arial"/>
                <w:b/>
                <w:bCs/>
                <w:color w:val="2E7D32"/>
                <w:sz w:val="24"/>
                <w:szCs w:val="24"/>
              </w:rPr>
              <w:t xml:space="preserve">↑ 67%</w:t>
            </w:r>
          </w:p>
        </w:tc>
        <w:tc>
          <w:tcPr>
            <w:tcW w:type="dxa" w:w="4026"/>
            <w:tcBorders>
              <w:top w:val="single" w:color="CCCCCC" w:sz="1"/>
              <w:left w:val="single" w:color="CCCCCC" w:sz="1"/>
              <w:bottom w:val="single" w:color="CCCCCC" w:sz="1"/>
              <w:right w:val="single" w:color="CCCCCC" w:sz="1"/>
            </w:tcBorders>
            <w:tcMar>
              <w:top w:type="dxa" w:w="60"/>
              <w:left w:type="dxa" w:w="120"/>
              <w:bottom w:type="dxa" w:w="60"/>
              <w:right w:type="dxa" w:w="120"/>
            </w:tcMar>
          </w:tcPr>
          <w:p>
            <w:r>
              <w:rPr>
                <w:rFonts w:ascii="Microsoft YaHei" w:cs="Microsoft YaHei" w:eastAsia="Microsoft YaHei" w:hAnsi="Microsoft YaHei"/>
                <w:b w:val="false"/>
                <w:bCs w:val="false"/>
                <w:color w:val="64748B"/>
                <w:sz w:val="20"/>
                <w:szCs w:val="20"/>
              </w:rPr>
              <w:t xml:space="preserve">AI自主物料配送控制塔</w:t>
            </w:r>
          </w:p>
        </w:tc>
      </w:tr>
      <w:tr>
        <w:tc>
          <w:tcPr>
            <w:tcW w:type="dxa" w:w="3000"/>
            <w:tcBorders>
              <w:top w:val="single" w:color="CCCCCC" w:sz="1"/>
              <w:left w:val="single" w:color="CCCCCC" w:sz="1"/>
              <w:bottom w:val="single" w:color="CCCCCC" w:sz="1"/>
              <w:right w:val="single" w:color="CCCCCC" w:sz="1"/>
            </w:tcBorders>
            <w:tcMar>
              <w:top w:type="dxa" w:w="60"/>
              <w:left w:type="dxa" w:w="120"/>
              <w:bottom w:type="dxa" w:w="60"/>
              <w:right w:type="dxa" w:w="120"/>
            </w:tcMar>
          </w:tcPr>
          <w:p>
            <w:r>
              <w:rPr>
                <w:rFonts w:ascii="Microsoft YaHei" w:cs="Microsoft YaHei" w:eastAsia="Microsoft YaHei" w:hAnsi="Microsoft YaHei"/>
                <w:b w:val="false"/>
                <w:bCs w:val="false"/>
                <w:color w:val="1E293B"/>
                <w:sz w:val="21"/>
                <w:szCs w:val="21"/>
              </w:rPr>
              <w:t xml:space="preserve">一次通过率</w:t>
            </w:r>
          </w:p>
        </w:tc>
        <w:tc>
          <w:tcPr>
            <w:tcW w:type="dxa" w:w="2000"/>
            <w:tcBorders>
              <w:top w:val="single" w:color="CCCCCC" w:sz="1"/>
              <w:left w:val="single" w:color="CCCCCC" w:sz="1"/>
              <w:bottom w:val="single" w:color="CCCCCC" w:sz="1"/>
              <w:right w:val="single" w:color="CCCCCC" w:sz="1"/>
            </w:tcBorders>
            <w:tcMar>
              <w:top w:type="dxa" w:w="60"/>
              <w:left w:type="dxa" w:w="120"/>
              <w:bottom w:type="dxa" w:w="60"/>
              <w:right w:type="dxa" w:w="120"/>
            </w:tcMar>
          </w:tcPr>
          <w:p>
            <w:pPr>
              <w:jc w:val="center"/>
            </w:pPr>
            <w:r>
              <w:rPr>
                <w:rFonts w:ascii="Arial" w:cs="Arial" w:eastAsia="Arial" w:hAnsi="Arial"/>
                <w:b/>
                <w:bCs/>
                <w:color w:val="2E7D32"/>
                <w:sz w:val="24"/>
                <w:szCs w:val="24"/>
              </w:rPr>
              <w:t xml:space="preserve">↑ 8%</w:t>
            </w:r>
          </w:p>
        </w:tc>
        <w:tc>
          <w:tcPr>
            <w:tcW w:type="dxa" w:w="4026"/>
            <w:tcBorders>
              <w:top w:val="single" w:color="CCCCCC" w:sz="1"/>
              <w:left w:val="single" w:color="CCCCCC" w:sz="1"/>
              <w:bottom w:val="single" w:color="CCCCCC" w:sz="1"/>
              <w:right w:val="single" w:color="CCCCCC" w:sz="1"/>
            </w:tcBorders>
            <w:tcMar>
              <w:top w:type="dxa" w:w="60"/>
              <w:left w:type="dxa" w:w="120"/>
              <w:bottom w:type="dxa" w:w="60"/>
              <w:right w:type="dxa" w:w="120"/>
            </w:tcMar>
          </w:tcPr>
          <w:p>
            <w:r>
              <w:rPr>
                <w:rFonts w:ascii="Microsoft YaHei" w:cs="Microsoft YaHei" w:eastAsia="Microsoft YaHei" w:hAnsi="Microsoft YaHei"/>
                <w:b w:val="false"/>
                <w:bCs w:val="false"/>
                <w:color w:val="64748B"/>
                <w:sz w:val="20"/>
                <w:szCs w:val="20"/>
              </w:rPr>
              <w:t xml:space="preserve">车联网闭环质量控制</w:t>
            </w:r>
          </w:p>
        </w:tc>
      </w:tr>
      <w:tr>
        <w:tc>
          <w:tcPr>
            <w:tcW w:type="dxa" w:w="3000"/>
            <w:tcBorders>
              <w:top w:val="single" w:color="CCCCCC" w:sz="1"/>
              <w:left w:val="single" w:color="CCCCCC" w:sz="1"/>
              <w:bottom w:val="single" w:color="CCCCCC" w:sz="1"/>
              <w:right w:val="single" w:color="CCCCCC" w:sz="1"/>
            </w:tcBorders>
            <w:tcMar>
              <w:top w:type="dxa" w:w="60"/>
              <w:left w:type="dxa" w:w="120"/>
              <w:bottom w:type="dxa" w:w="60"/>
              <w:right w:type="dxa" w:w="120"/>
            </w:tcMar>
          </w:tcPr>
          <w:p>
            <w:r>
              <w:rPr>
                <w:rFonts w:ascii="Microsoft YaHei" w:cs="Microsoft YaHei" w:eastAsia="Microsoft YaHei" w:hAnsi="Microsoft YaHei"/>
                <w:b w:val="false"/>
                <w:bCs w:val="false"/>
                <w:color w:val="1E293B"/>
                <w:sz w:val="21"/>
                <w:szCs w:val="21"/>
              </w:rPr>
              <w:t xml:space="preserve">能耗</w:t>
            </w:r>
          </w:p>
        </w:tc>
        <w:tc>
          <w:tcPr>
            <w:tcW w:type="dxa" w:w="2000"/>
            <w:tcBorders>
              <w:top w:val="single" w:color="CCCCCC" w:sz="1"/>
              <w:left w:val="single" w:color="CCCCCC" w:sz="1"/>
              <w:bottom w:val="single" w:color="CCCCCC" w:sz="1"/>
              <w:right w:val="single" w:color="CCCCCC" w:sz="1"/>
            </w:tcBorders>
            <w:tcMar>
              <w:top w:type="dxa" w:w="60"/>
              <w:left w:type="dxa" w:w="120"/>
              <w:bottom w:type="dxa" w:w="60"/>
              <w:right w:type="dxa" w:w="120"/>
            </w:tcMar>
          </w:tcPr>
          <w:p>
            <w:pPr>
              <w:jc w:val="center"/>
            </w:pPr>
            <w:r>
              <w:rPr>
                <w:rFonts w:ascii="Arial" w:cs="Arial" w:eastAsia="Arial" w:hAnsi="Arial"/>
                <w:b/>
                <w:bCs/>
                <w:color w:val="2E7D32"/>
                <w:sz w:val="24"/>
                <w:szCs w:val="24"/>
              </w:rPr>
              <w:t xml:space="preserve">↓ 48%</w:t>
            </w:r>
          </w:p>
        </w:tc>
        <w:tc>
          <w:tcPr>
            <w:tcW w:type="dxa" w:w="4026"/>
            <w:tcBorders>
              <w:top w:val="single" w:color="CCCCCC" w:sz="1"/>
              <w:left w:val="single" w:color="CCCCCC" w:sz="1"/>
              <w:bottom w:val="single" w:color="CCCCCC" w:sz="1"/>
              <w:right w:val="single" w:color="CCCCCC" w:sz="1"/>
            </w:tcBorders>
            <w:tcMar>
              <w:top w:type="dxa" w:w="60"/>
              <w:left w:type="dxa" w:w="120"/>
              <w:bottom w:type="dxa" w:w="60"/>
              <w:right w:type="dxa" w:w="120"/>
            </w:tcMar>
          </w:tcPr>
          <w:p>
            <w:r>
              <w:rPr>
                <w:rFonts w:ascii="Microsoft YaHei" w:cs="Microsoft YaHei" w:eastAsia="Microsoft YaHei" w:hAnsi="Microsoft YaHei"/>
                <w:b w:val="false"/>
                <w:bCs w:val="false"/>
                <w:color w:val="64748B"/>
                <w:sz w:val="20"/>
                <w:szCs w:val="20"/>
              </w:rPr>
              <w:t xml:space="preserve">智能微电网可持续制造</w:t>
            </w:r>
          </w:p>
        </w:tc>
      </w:tr>
    </w:tbl>
    <w:p>
      <w:pPr>
        <w:spacing w:after="100"/>
      </w:pPr>
    </w:p>
    <w:p>
      <w:pPr>
        <w:spacing w:after="100"/>
      </w:pPr>
    </w:p>
    <w:p>
      <w:pPr>
        <w:pStyle w:val="Heading2"/>
        <w:spacing w:after="100"/>
      </w:pPr>
      <w:r>
        <w:rPr>
          <w:rFonts w:ascii="Microsoft YaHei" w:cs="Microsoft YaHei" w:eastAsia="Microsoft YaHei" w:hAnsi="Microsoft YaHei"/>
          <w:b/>
          <w:bCs/>
          <w:i w:val="false"/>
          <w:iCs w:val="false"/>
          <w:color w:val="1A56DB"/>
          <w:sz w:val="30"/>
          <w:szCs w:val="30"/>
        </w:rPr>
        <w:t xml:space="preserve">可复制性分析</w:t>
      </w:r>
    </w:p>
    <w:p>
      <w:pPr>
        <w:spacing w:after="80"/>
      </w:pPr>
      <w:r>
        <w:rPr>
          <w:rFonts w:ascii="Microsoft YaHei" w:cs="Microsoft YaHei" w:eastAsia="Microsoft YaHei" w:hAnsi="Microsoft YaHei"/>
          <w:b w:val="false"/>
          <w:bCs w:val="false"/>
          <w:i w:val="false"/>
          <w:iCs w:val="false"/>
          <w:color w:val="1E293B"/>
          <w:sz w:val="21"/>
          <w:szCs w:val="21"/>
        </w:rPr>
        <w:t xml:space="preserve">🏢 企业规模 番禺智能生态工厂 · 年标准产能20万辆 · 600+工业机器人 💰 投入规模 40+数字化用例 · 大规模光伏+国内最大V2G微电网 ⏱️ 实施周期 2018年建厂→2023年获灯塔（约5年迭代） 🎯 关键技术门槛 钢铝共线柔性焊装 · AI视觉质检 · V2G微电网 👉 适合什么企业参考 汽车整车/零部件制造企业，以及需要大规模个性化定制与混流生产的离散制造业</w:t>
      </w:r>
    </w:p>
    <w:p>
      <w:pPr>
        <w:pStyle w:val="Heading2"/>
        <w:spacing w:after="100"/>
      </w:pPr>
      <w:r>
        <w:rPr>
          <w:rFonts w:ascii="Microsoft YaHei" w:cs="Microsoft YaHei" w:eastAsia="Microsoft YaHei" w:hAnsi="Microsoft YaHei"/>
          <w:b/>
          <w:bCs/>
          <w:i w:val="false"/>
          <w:iCs w:val="false"/>
          <w:color w:val="1A56DB"/>
          <w:sz w:val="30"/>
          <w:szCs w:val="30"/>
        </w:rPr>
        <w:t xml:space="preserve">技术全景图</w:t>
      </w:r>
    </w:p>
    <w:p>
      <w:pPr>
        <w:spacing w:after="80"/>
      </w:pPr>
      <w:r>
        <w:rPr>
          <w:rFonts w:ascii="Microsoft YaHei" w:cs="Microsoft YaHei" w:eastAsia="Microsoft YaHei" w:hAnsi="Microsoft YaHei"/>
          <w:b w:val="false"/>
          <w:bCs w:val="false"/>
          <w:i w:val="false"/>
          <w:iCs w:val="false"/>
          <w:color w:val="1E293B"/>
          <w:sz w:val="21"/>
          <w:szCs w:val="21"/>
        </w:rPr>
        <w:t xml:space="preserve">🗺️ 技术全景图 01 智能装备 ✔️ 02 工业软件 ✔️ 03 智能工厂 ✔️ 04 智慧供应链 ✔️ 05 智能赋能技术 ✔️ 06 智能制造新模式 ✔️ 07 工业网络 ✔️ 08 系统安全 · 09 绿色可持续 ✔️ 已覆盖（8/9） 未涉及 WEF重点技术覆盖率：89%</w:t>
      </w:r>
    </w:p>
    <w:p>
      <w:pPr>
        <w:pStyle w:val="Heading2"/>
        <w:spacing w:after="100"/>
      </w:pPr>
      <w:r>
        <w:rPr>
          <w:rFonts w:ascii="Microsoft YaHei" w:cs="Microsoft YaHei" w:eastAsia="Microsoft YaHei" w:hAnsi="Microsoft YaHei"/>
          <w:b/>
          <w:bCs/>
          <w:i w:val="false"/>
          <w:iCs w:val="false"/>
          <w:color w:val="1A56DB"/>
          <w:sz w:val="30"/>
          <w:szCs w:val="30"/>
        </w:rPr>
        <w:t xml:space="preserve">行业对标</w:t>
      </w:r>
    </w:p>
    <w:p>
      <w:pPr>
        <w:spacing w:after="80"/>
      </w:pPr>
      <w:r>
        <w:rPr>
          <w:rFonts w:ascii="Microsoft YaHei" w:cs="Microsoft YaHei" w:eastAsia="Microsoft YaHei" w:hAnsi="Microsoft YaHei"/>
          <w:b w:val="false"/>
          <w:bCs w:val="false"/>
          <w:i w:val="false"/>
          <w:iCs w:val="false"/>
          <w:color w:val="1E293B"/>
          <w:sz w:val="21"/>
          <w:szCs w:val="21"/>
        </w:rPr>
        <w:t xml:space="preserve">🏭 行业对标视角 国标分类路径：制造业(C) → 汽车制造业(36) → 汽车整车制造(3611) 📌 全球新能源汽车整车制造领域首座灯塔工厂，填补了新能源整车智造的数字化标杆空白。 广汽埃安广州（中国广东） 第11批 · 单一灯塔 · 2023.12 大陆汽车捷克布兰迪斯 汽车电子 · 单一灯塔 法雷奥深圳（中国广东） 汽车零部件 · 单一灯塔 博世苏州（中国） 汽车零部件 · 单一灯塔 💡 新能源整车智造标杆：广汽埃安是新能源汽车整车制造领域全球首座灯塔工厂。其「按单定制+柔性混流+绿色微电网」的组合，为正在从「卷价格」转向「卷智造」的中国新能源汽车行业树立了可复制的数字化样板。</w:t>
      </w:r>
    </w:p>
    <w:p>
      <w:pPr>
        <w:pStyle w:val="Heading2"/>
        <w:spacing w:after="100"/>
      </w:pPr>
      <w:r>
        <w:rPr>
          <w:rFonts w:ascii="Microsoft YaHei" w:cs="Microsoft YaHei" w:eastAsia="Microsoft YaHei" w:hAnsi="Microsoft YaHei"/>
          <w:b/>
          <w:bCs/>
          <w:i w:val="false"/>
          <w:iCs w:val="false"/>
          <w:color w:val="1A56DB"/>
          <w:sz w:val="30"/>
          <w:szCs w:val="30"/>
        </w:rPr>
        <w:t xml:space="preserve">互动</w:t>
      </w:r>
    </w:p>
    <w:p>
      <w:pPr>
        <w:spacing w:after="80"/>
      </w:pPr>
      <w:r>
        <w:rPr>
          <w:rFonts w:ascii="Microsoft YaHei" w:cs="Microsoft YaHei" w:eastAsia="Microsoft YaHei" w:hAnsi="Microsoft YaHei"/>
          <w:b w:val="false"/>
          <w:bCs w:val="false"/>
          <w:i w:val="false"/>
          <w:iCs w:val="false"/>
          <w:color w:val="1E293B"/>
          <w:sz w:val="21"/>
          <w:szCs w:val="21"/>
        </w:rPr>
        <w:t xml:space="preserve">💬 互动 广汽埃安把10万+配置的定制车，在53秒节拍里跑了出来。你觉得整车厂「大规模个性化定制」最大的挑战是什么？ 👇 欢迎在评论区分享你的经验与困惑 📊 灯塔名录 回复【名录】获取完整名单 🔍 灯塔案例 回复【分析+企业名】 🦞 灯塔虾评 回复【自测】评估差距 📋 CMMM 自评 回复【CMMM】国标诊断</w:t>
      </w:r>
    </w:p>
    <w:p>
      <w:pPr>
        <w:spacing w:after="80"/>
      </w:pPr>
      <w:r>
        <w:rPr>
          <w:rFonts w:ascii="Microsoft YaHei" w:cs="Microsoft YaHei" w:eastAsia="Microsoft YaHei" w:hAnsi="Microsoft YaHei"/>
          <w:b w:val="false"/>
          <w:bCs w:val="false"/>
          <w:i w:val="false"/>
          <w:iCs w:val="false"/>
          <w:color w:val="64748B"/>
          <w:sz w:val="21"/>
          <w:szCs w:val="21"/>
        </w:rPr>
        <w:t xml:space="preserve">📥 下载此案例（多种格式） 🌐 网页 📽️ 幻灯片 📊 PPTX 📄 DOCX 🗂️ JSON 📝 MD 📋 CSV</w:t>
      </w:r>
    </w:p>
    <w:p>
      <w:pPr>
        <w:spacing w:after="60" w:before="100"/>
        <w:jc w:val="center"/>
      </w:pPr>
      <w:r>
        <w:rPr>
          <w:rFonts w:ascii="Microsoft YaHei" w:cs="Microsoft YaHei" w:eastAsia="Microsoft YaHei" w:hAnsi="Microsoft YaHei"/>
          <w:b w:val="false"/>
          <w:bCs w:val="false"/>
          <w:i w:val="false"/>
          <w:iCs w:val="false"/>
          <w:color w:val="94A3B8"/>
          <w:sz w:val="18"/>
          <w:szCs w:val="18"/>
        </w:rPr>
        <w:t xml:space="preserve">❤️ 点「在看」，让更多同行看到 数据来源：世界经济论坛全球灯塔网络（WEF）、广汽集团官方信息、广州市科技局《科技周刊》 老陈说灯塔 · 每周一个灯塔工厂深度拆解</w:t>
      </w:r>
    </w:p>
    <w:p>
      <w:pPr>
        <w:spacing w:after="100"/>
      </w:pPr>
    </w:p>
    <w:p>
      <w:pPr>
        <w:spacing w:after="60" w:before="200"/>
        <w:jc w:val="center"/>
      </w:pPr>
      <w:r>
        <w:rPr>
          <w:rFonts w:ascii="Microsoft YaHei" w:cs="Microsoft YaHei" w:eastAsia="Microsoft YaHei" w:hAnsi="Microsoft YaHei"/>
          <w:b w:val="false"/>
          <w:bCs w:val="false"/>
          <w:i w:val="false"/>
          <w:iCs w:val="false"/>
          <w:color w:val="94A3B8"/>
          <w:sz w:val="18"/>
          <w:szCs w:val="18"/>
        </w:rPr>
        <w:t xml:space="preserve">数据来源：世界经济论坛（WEF）全球灯塔网络 · 公开报道</w:t>
      </w:r>
    </w:p>
    <w:p>
      <w:pPr>
        <w:spacing w:after="100"/>
        <w:jc w:val="center"/>
      </w:pPr>
      <w:r>
        <w:rPr>
          <w:rFonts w:ascii="Microsoft YaHei" w:cs="Microsoft YaHei" w:eastAsia="Microsoft YaHei" w:hAnsi="Microsoft YaHei"/>
          <w:b w:val="false"/>
          <w:bCs w:val="false"/>
          <w:i w:val="false"/>
          <w:iCs w:val="false"/>
          <w:color w:val="94A3B8"/>
          <w:sz w:val="18"/>
          <w:szCs w:val="18"/>
        </w:rPr>
        <w:t xml:space="preserve">老陈说灯塔 · 每周一个灯塔工厂深度拆解</w:t>
      </w:r>
    </w:p>
    <w:sectPr>
      <w:pgSz w:w="11906" w:h="16838" w:orient="portrait"/>
      <w:pgMar w:top="1134"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2026-10-08T11:44:11.853Z</dcterms:created>
  <dcterms:modified xsi:type="dcterms:W3CDTF">2026-10-08T11:44:11.862Z</dcterms:modified>
</cp:coreProperties>
</file>

<file path=docProps/custom.xml><?xml version="1.0" encoding="utf-8"?>
<Properties xmlns="http://schemas.openxmlformats.org/officeDocument/2006/custom-properties" xmlns:vt="http://schemas.openxmlformats.org/officeDocument/2006/docPropsVTypes"/>
</file>