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56DB"/>
          <w:sz w:val="44"/>
        </w:rPr>
        <w:t>16312CN10</w:t>
      </w:r>
    </w:p>
    <w:p>
      <w:r>
        <w:rPr>
          <w:color w:val="1A1A2E"/>
          <w:sz w:val="26"/>
        </w:rPr>
        <w:t>施耐德电气上海工厂以"人-机-智"三方协同为核心理念，深度融合ML智能排程、AI视觉质检、AR+AIGC运维和模块化柔性产线，在SKU四年激增4倍的冲击下，将订单交付周期缩短67%、人均生产效率提升82%，成为全球电气设备行业首个端到端灯塔工厂。</w:t>
      </w:r>
    </w:p>
    <w:p>
      <w:r>
        <w:rPr>
          <w:color w:val="64748B"/>
          <w:sz w:val="20"/>
        </w:rPr>
        <w:t>—— 第12批端到端价值链灯塔工厂，覆盖研发-采购-生产-交付-服务全链路，近30年老厂焕发数字新生</w:t>
      </w:r>
    </w:p>
    <w:p>
      <w:r>
        <w:rPr>
          <w:b/>
          <w:color w:val="1A56DB"/>
          <w:sz w:val="32"/>
        </w:rPr>
        <w:t>企业名片</w:t>
      </w:r>
    </w:p>
    <w:p>
      <w:r>
        <w:rPr>
          <w:b/>
          <w:color w:val="1A56DB"/>
          <w:sz w:val="32"/>
        </w:rPr>
        <w:t>灯塔编码：16312CN10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施耐德电气（Schneider Electric）——上海施耐德工业控制有限公司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上海普陀区桃浦镇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输配电及控制设备制造（国标3823）/ 电气设备（WEF）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端到端价值链（E2E）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入选批次 / 发布日期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接触器、过载继电器、电动机断路器、按钮指示灯等关键工业控制元件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新能源、工业自动化、电力系统、建筑配电、数据中心</w:t>
            </w:r>
          </w:p>
        </w:tc>
      </w:tr>
    </w:tbl>
    <w:p>
      <w:r>
        <w:rPr>
          <w:b/>
          <w:color w:val="1A56DB"/>
          <w:sz w:val="32"/>
        </w:rPr>
        <w:t>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1. 智能规划与排程系统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SKU四年增长4倍，订单结构复杂多变，计划工程师每天需花2小时手工排程，无法应对新能源市场爆发式需求。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构建ML+运筹算法驱动的多目标自动排程系统，打通订单-库存-设备全链路数据，实现动态实时优化调度。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ERP/MES/WMS数据打通建实时数据总线 -&gt; 运筹算法引擎定义多目标约束 -&gt; ML预测模型预判波峰波谷 -&gt; 每日5:30自动抓单、5分钟内完成排程、6:00产线按最优计划运行。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排程耗时从每天2小时-5分钟，提速20倍以上；支撑产线无缝切换数千种SKU，订单波动时自动触发模块切换。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ML/运筹算法, IoT, 私有云, APS自动排程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2. AI驱动产品研发加速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新能源市场快速迭代，新产品研发周期长达4-5年，原型设计与寿命测试占研发周期70%以上。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利用ML数字快速原型+AIGC辅助设计，IoT Box采集寿命测试数据构建ML预测模型，测试进度50%即预判达标。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部署IoT Box自动采集数十项测试参数 -&gt; 汇入私有云数据湖构建ML寿命预测模型 -&gt; 模型持续接收实时数据流动态定位失效关键因素 -&gt; 测试50%时给出达标/不达标/需延测判断。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新产品研发周期平均缩短63%（最快压缩至6个月），寿命测试工作量减少约50%，每年并行研发项目数翻倍。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ML, AIGC, IoT Box, 私有云, 数字快速原型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3. 第三代模块化柔性产线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SKU激增4倍，传统刚性产线换线需数小时，无法支撑多品种柔性制造。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自主研发全电控模块化柔性产线，磁悬浮轨道+快插接口即插即用，四轴机器人灵活供料。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工站封装为独立模块 -&gt; 标准化快插电控协议 -&gt; 磁悬浮轨道非接触精确传输(+-0.02mm) -&gt; 模块独立控制器一键切换参数 -&gt; 四轴机器人上下料，30分钟完成工站重构。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设备复用率提高85%，生产速度提高65%，日换线次数从2-3次提升至10+次，支撑4倍SKU增长无需新增产线。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模块化产线, 磁悬浮轨道, 四轴机器人, 快插接口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4. AI视觉质检系统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接触器关键指标肉眼难辨，传统抽检无法实现100%在线全检，存在漏检风险。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部署协作机器人+AI影像质检系统，高帧率在线全检和自动剔除。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产线末端部署2台协作机器人（3D扫描+2D成像）-&gt; 训练YOLO+CNN混合视觉模型建立合格品标准图谱 -&gt; 0.3秒/件全流程检测判定 -&gt; 不良品自动分流 -&gt; 检测数据回传MES驱动参数纠偏。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抽检率5%-&gt;100%在线全检，单件耗时0.3秒，缺陷漏检率&lt;0.01%，每年拦截不良品数以万计。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AI视觉质检, 协作机器人, YOLOv8, MES, 3D结构光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5. AR+AIGC智能运维体系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设备故障诊断高度依赖老师傅，新维修人员培训18个月，不同技能水平修复时间差异3-5倍。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构建IoT设备互联+AR眼镜+AIGC知识库三位一体运维体系，AI将维修经验数字化。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全厂关键设备部署IoT传感器建健康度基线 -&gt; 5年维修记录转化为LLM语义知识库 -&gt; 维修人员佩戴AR眼镜语音描述故障 -&gt; AIGC实时检索推荐诊断路径 -&gt; IoT异常自动推送告警+预测原因+备件状态。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维修耗时缩减30%，新人培训周期18个月-&gt;6-9个月(缩短50%+)，设备非计划停机减少40%。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AIGC/LLM, AR, IoT, OT互联, 知识图谱</w:t>
      </w:r>
    </w:p>
    <w:p>
      <w:r>
        <w:rPr>
          <w:b/>
          <w:color w:val="1A56DB"/>
          <w:sz w:val="24"/>
        </w:rPr>
        <w:t>6. 5G+AGV智能物料配送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物料配送依赖人工叉车效率低，产线缺料等待日均1.2小时，影响OEE。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5G专网+AGV构建无人化物料配送，18台5G监控设备实时调度数十台AGV。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部署5G专网覆盖全厂1.1万m2 -&gt; 18台5G摄像头实时追踪AGV位置 -&gt; 排程切换时物料清单自动推送 -&gt; AGV提前30分钟送料 -&gt; 激光SLAM+视觉融合导航精准定位。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物料配送效率提升3倍，配送准确率99.9%，产线缺料等待从日均1.2小时降至接近零。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5G, AGV, SLAM, 边缘AI</w:t>
      </w:r>
    </w:p>
    <w:p>
      <w:r>
        <w:rPr>
          <w:b/>
          <w:color w:val="1A56DB"/>
          <w:sz w:val="24"/>
        </w:rPr>
        <w:t>7. 端到端供应链协同平台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供应链上下游信息割裂，采购与生产脱节，供应商交付波动致停产风险。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构建端到端供应链数字化协同平台，打通全价值链数据流，实现供需匹配与风险预警。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建统一供应链数据中台接入1600+供应商数据 -&gt; 采购端根据APS推送供应商门户 -&gt; 交付端MES实时同步客户门户 -&gt; 风险预警层自动触发替代方案推荐。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订单交付周期缩短67%，供应商准时交付率从87%-&gt;96%，排程效率提升20倍以上。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供应链中台, ML, API网关, EcoStruxure</w:t>
      </w:r>
    </w:p>
    <w:p>
      <w:r>
        <w:rPr>
          <w:b/>
          <w:color w:val="1A56DB"/>
          <w:sz w:val="24"/>
        </w:rPr>
        <w:t>8. 产品寿命智能预测平台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接触器额定机械寿命动辄百万次，完整寿命测试耗时数月到数年，制约迭代速度。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多物理场ML寿命预测模型，融合加速老化+历史失效+工况仿真数据，测试50%时预判全寿期。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建失效模式数据库(10类接触器+6类继电器失效) -&gt; 加速老化实验台1个月模拟5年强度 -&gt; 多物理场ML模型映射常态工况寿命 -&gt; 每批次实测反馈修正。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寿命测试工作量减少约50%，测试资源释放后并行型号数翻倍，预测精度+-8%实际值。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ML, 数字孪生, IoT Box, XGBoost+LSTM</w:t>
      </w:r>
    </w:p>
    <w:p>
      <w:r>
        <w:rPr>
          <w:b/>
          <w:color w:val="1A56DB"/>
          <w:sz w:val="24"/>
        </w:rPr>
        <w:t>9. 供应商绿色赋能计划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供应链碳排放占整体碳足迹绝大部分，但中小供应商缺乏碳管理工具和专业能力。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将上海工厂数字化+绿色化能力以SaaS+辅导模式输出给核心供应商，推动共同减碳。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试点供应商部署碳足迹追踪SaaS -&gt; 派驻专家协助能源监控+排程优化 -&gt; 协助建光伏 -&gt; 建供应商碳绩效评级纳入供货评定。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试点供应商每亿元销售碳排放降幅35.1%，自建光伏年减排预计1100吨CO2，推广至1600+供应商。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碳管理SaaS, 光伏, 能源管理, EcoStruxure</w:t>
      </w:r>
    </w:p>
    <w:p>
      <w:r>
        <w:rPr>
          <w:b/>
          <w:color w:val="1A56DB"/>
          <w:sz w:val="24"/>
        </w:rPr>
        <w:t>10. 人机协同知识管理体系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500人规模工厂积累30年隐性知识，碎片化分布在老员工脑中，退休潮导致技能断层。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以LLM+AIGC构建企业知识大脑，将设备手册、故障案例、操作规范、经验系统化编码，AR+语音赋能一线。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发动全员采集经验碎片（短视频+文字）-&gt; LLM语义去重关联形成知识图谱 -&gt; 嵌入AR终端语音提问即得答案 -&gt; 建激励机制：经验贡献=绩效挂钩。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培训周期18个月-&gt;6-9个月，知识库收录&gt;5000条结构化经验，人均每周知识检索12次。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LLM, 知识图谱, AR, 向量数据库, RAG</w:t>
      </w:r>
    </w:p>
    <w:p>
      <w:r>
        <w:rPr>
          <w:b/>
          <w:color w:val="1A56DB"/>
          <w:sz w:val="32"/>
        </w:rPr>
        <w:t>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订单生产交付时间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67%DOWN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客户下单到收货缩短2/3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人均生产效率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82%UP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500人产出接近此前900人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新产品研发周期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4-5年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最短6个月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63%DOWN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敏捷响应新能源市场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生产自动化程度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20%UP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覆盖上料到搬运全流程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生产速度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65%UP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模块化+AI排程协同跃升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设备复用率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85%UP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同产线品种容量翻4倍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计划排程效率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每天2小时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5分钟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20x+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工程师升级为策略师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维修耗时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30%DOWN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AR+AIGC数字化维修经验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新维修人员培训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18个月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6-9个月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50%+DOWN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替代跟师学徒模式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寿命测试工作量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100%实测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50%实测+AI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50%DOWN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释放2倍新品研发容量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供应商准时交付率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87%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96%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9ppUP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降低缺料停线风险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供应商碳强度(每亿)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35.1%DOWN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打造可持续供应链标杆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AI质检覆盖率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5%(抽检)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100%(全检)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20xUP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缺陷漏检率&lt;0.01%</w:t>
            </w:r>
          </w:p>
        </w:tc>
      </w:tr>
    </w:tbl>
    <w:p>
      <w:r>
        <w:rPr>
          <w:b/>
          <w:color w:val="1A56DB"/>
          <w:sz w:val="32"/>
        </w:rPr>
        <w:t>技术全景图</w:t>
      </w:r>
    </w:p>
    <w:p>
      <w:r>
        <w:rPr>
          <w:sz w:val="20"/>
        </w:rPr>
        <w:t>已覆盖8/9个领域（智能装备✅ 工业软件✅ 智能工厂✅ 智慧供应链✅ 智能赋能技术✅ 智能制造新模式✅ 工业网络✅ 系统安全❌ 绿色可持续✅）。</w:t>
      </w:r>
    </w:p>
    <w:p>
      <w:r>
        <w:rPr>
          <w:sz w:val="20"/>
        </w:rPr>
        <w:t>WEF重点技术覆盖率：13/40（32.5%），涵盖机器学习、AIGC/LLM、物联网、5G、AR、协作机器人、AI视觉质检、智能排程、数字孪生、AGV、柔性制造、知识图谱、供应商碳管理。</w:t>
      </w:r>
    </w:p>
    <w:p>
      <w:r>
        <w:rPr>
          <w:b/>
          <w:color w:val="1A56DB"/>
          <w:sz w:val="32"/>
        </w:rPr>
        <w:t>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跨国企业·世界500强（施耐德电气集团），工厂占地1.1万m2，约500人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公开信息未披露，涉及三代产线迭代+5G专网+AI平台+知识库建设，预估数千万元级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约4年（2020年启动转型，2024年10月入选WEF灯塔）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ML/运筹算法建模能力·AIGC+LLM企业知识库构建·模块化产线柔性设计·OT-IT融合·AR部署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适合企业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多品种小批量电气/电子制造企业；年营收&gt;5亿、产线&gt;5条、SKU&gt;1000种；面临老师傅退休问题；已在用MES/ERP但排程靠人工的企业。</w:t>
            </w:r>
          </w:p>
        </w:tc>
      </w:tr>
    </w:tbl>
    <w:p>
      <w:r>
        <w:rPr>
          <w:b/>
          <w:color w:val="1A56DB"/>
          <w:sz w:val="32"/>
        </w:rPr>
        <w:t>行业对标视角</w:t>
      </w:r>
    </w:p>
    <w:p>
      <w:r>
        <w:rPr>
          <w:b/>
          <w:sz w:val="20"/>
        </w:rPr>
        <w:t>国标分类路径：电气机械和器材制造业 -&gt; 输配电及控制设备制造 -&gt; 配电开关控制设备制造（3823）</w:t>
      </w:r>
    </w:p>
    <w:p>
      <w:r>
        <w:rPr>
          <w:sz w:val="20"/>
        </w:rPr>
        <w:t>同小类（3823）：全球共8家施耐德电气灯塔工厂，涵盖4个维度，中国独占3家（上海/无锡x2/武汉）。上海工厂是全球唯一获端到端认定的施耐德电气工厂。</w:t>
      </w:r>
    </w:p>
    <w:p>
      <w:r>
        <w:rPr>
          <w:b/>
          <w:color w:val="1A56DB"/>
          <w:sz w:val="32"/>
        </w:rPr>
        <w:t>互动</w:t>
      </w:r>
    </w:p>
    <w:p>
      <w:r>
        <w:rPr>
          <w:sz w:val="22"/>
        </w:rPr>
        <w:t>施耐德电气上海工厂投入三代产线迭代+AI全链路，SKU四年翻4倍但人均效率不降反升82%。你觉得传统工厂转型最难突破的是技术难题，还是组织变革和人的转型？欢迎在评论区分享。</w:t>
      </w:r>
    </w:p>
    <w:p>
      <w:r>
        <w:rPr>
          <w:b/>
          <w:sz w:val="24"/>
        </w:rPr>
        <w:t>点赞在看，让更多同行看到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