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jc w:val="center"/>
      </w:pPr>
      <w:r>
        <w:rPr>
          <w:rFonts w:ascii="Microsoft YaHei" w:cs="Microsoft YaHei" w:eastAsia="Microsoft YaHei" w:hAnsi="Microsoft YaHei"/>
          <w:b/>
          <w:bCs/>
          <w:i w:val="false"/>
          <w:iCs w:val="false"/>
          <w:color w:val="1E293B"/>
          <w:sz w:val="44"/>
          <w:szCs w:val="44"/>
        </w:rPr>
        <w:t xml:space="preserve">灯塔案例｜海尔胶州空调</w:t>
      </w:r>
    </w:p>
    <w:p>
      <w:pPr>
        <w:spacing w:after="100"/>
      </w:pPr>
    </w:p>
    <w:p>
      <w:pPr>
        <w:spacing w:after="60"/>
        <w:ind w:left="567"/>
      </w:pPr>
      <w:r>
        <w:rPr>
          <w:rFonts w:ascii="Microsoft YaHei" w:cs="Microsoft YaHei" w:eastAsia="Microsoft YaHei" w:hAnsi="Microsoft YaHei"/>
          <w:b/>
          <w:bCs/>
          <w:i/>
          <w:iCs/>
          <w:color w:val="1A56DB"/>
          <w:sz w:val="26"/>
          <w:szCs w:val="26"/>
        </w:rPr>
        <w:t xml:space="preserve">90%产品出口全球130个国家，海尔胶州空调用大数据+GenAI打通从设计到维修的全价值链：设计周期砍半（↓49%），质量诊断提速75%，重新定义了家电行业的数字研发范式。</w:t>
      </w:r>
    </w:p>
    <w:p>
      <w:pPr>
        <w:spacing w:after="200"/>
        <w:ind w:left="567"/>
      </w:pPr>
      <w:r>
        <w:rPr>
          <w:rFonts w:ascii="Microsoft YaHei" w:cs="Microsoft YaHei" w:eastAsia="Microsoft YaHei" w:hAnsi="Microsoft YaHei"/>
          <w:b w:val="false"/>
          <w:bCs w:val="false"/>
          <w:i w:val="false"/>
          <w:iCs w:val="false"/>
          <w:color w:val="64748B"/>
          <w:sz w:val="20"/>
          <w:szCs w:val="20"/>
        </w:rPr>
        <w:t xml:space="preserve">—— 海尔胶州空调 · 第12批 · 端到端灯塔 · 2024年10月</w:t>
      </w:r>
    </w:p>
    <w:p>
      <w:pPr>
        <w:pStyle w:val="Heading2"/>
        <w:spacing w:after="100"/>
      </w:pPr>
      <w:r>
        <w:rPr>
          <w:rFonts w:ascii="Microsoft YaHei" w:cs="Microsoft YaHei" w:eastAsia="Microsoft YaHei" w:hAnsi="Microsoft YaHei"/>
          <w:b/>
          <w:bCs/>
          <w:i w:val="false"/>
          <w:iCs w:val="false"/>
          <w:color w:val="1A56DB"/>
          <w:sz w:val="30"/>
          <w:szCs w:val="30"/>
        </w:rPr>
        <w:t xml:space="preserve">企业名片</w:t>
      </w:r>
    </w:p>
    <w:p>
      <w:pPr>
        <w:spacing w:after="100"/>
      </w:pPr>
      <w:r>
        <w:rPr>
          <w:rFonts w:ascii="Microsoft YaHei" w:cs="Microsoft YaHei" w:eastAsia="Microsoft YaHei" w:hAnsi="Microsoft YaHei"/>
          <w:b/>
          <w:bCs/>
          <w:i w:val="false"/>
          <w:iCs w:val="false"/>
          <w:color w:val="2E7D32"/>
          <w:sz w:val="28"/>
          <w:szCs w:val="28"/>
        </w:rPr>
        <w:t xml:space="preserve">🔖 灯塔编码：19112CN21</w:t>
      </w:r>
    </w:p>
    <w:p>
      <w:pPr>
        <w:spacing w:after="80"/>
      </w:pPr>
      <w:r>
        <w:rPr>
          <w:rFonts w:ascii="Microsoft YaHei" w:cs="Microsoft YaHei" w:eastAsia="Microsoft YaHei" w:hAnsi="Microsoft YaHei"/>
          <w:b/>
          <w:bCs/>
          <w:i w:val="false"/>
          <w:iCs w:val="false"/>
          <w:color w:val="1E293B"/>
          <w:sz w:val="22"/>
          <w:szCs w:val="22"/>
        </w:rPr>
        <w:t xml:space="preserve">企业名称：</w:t>
      </w:r>
      <w:r>
        <w:rPr>
          <w:rFonts w:ascii="Microsoft YaHei" w:cs="Microsoft YaHei" w:eastAsia="Microsoft YaHei" w:hAnsi="Microsoft YaHei"/>
          <w:b w:val="false"/>
          <w:bCs w:val="false"/>
          <w:i w:val="false"/>
          <w:iCs w:val="false"/>
          <w:color w:val="1E293B"/>
          <w:sz w:val="22"/>
          <w:szCs w:val="22"/>
        </w:rPr>
        <w:t xml:space="preserve">海尔胶州空调</w:t>
      </w:r>
    </w:p>
    <w:p>
      <w:pPr>
        <w:spacing w:after="80"/>
      </w:pPr>
      <w:r>
        <w:rPr>
          <w:rFonts w:ascii="Microsoft YaHei" w:cs="Microsoft YaHei" w:eastAsia="Microsoft YaHei" w:hAnsi="Microsoft YaHei"/>
          <w:b/>
          <w:bCs/>
          <w:i w:val="false"/>
          <w:iCs w:val="false"/>
          <w:color w:val="1E293B"/>
          <w:sz w:val="22"/>
          <w:szCs w:val="22"/>
        </w:rPr>
        <w:t xml:space="preserve">工厂所在地：</w:t>
      </w:r>
      <w:r>
        <w:rPr>
          <w:rFonts w:ascii="Microsoft YaHei" w:cs="Microsoft YaHei" w:eastAsia="Microsoft YaHei" w:hAnsi="Microsoft YaHei"/>
          <w:b w:val="false"/>
          <w:bCs w:val="false"/>
          <w:i w:val="false"/>
          <w:iCs w:val="false"/>
          <w:color w:val="1E293B"/>
          <w:sz w:val="22"/>
          <w:szCs w:val="22"/>
        </w:rPr>
        <w:t xml:space="preserve">中国 · 青岛</w:t>
      </w:r>
    </w:p>
    <w:p>
      <w:pPr>
        <w:spacing w:after="80"/>
      </w:pPr>
      <w:r>
        <w:rPr>
          <w:rFonts w:ascii="Microsoft YaHei" w:cs="Microsoft YaHei" w:eastAsia="Microsoft YaHei" w:hAnsi="Microsoft YaHei"/>
          <w:b/>
          <w:bCs/>
          <w:i w:val="false"/>
          <w:iCs w:val="false"/>
          <w:color w:val="1E293B"/>
          <w:sz w:val="22"/>
          <w:szCs w:val="22"/>
        </w:rPr>
        <w:t xml:space="preserve">所属行业：</w:t>
      </w:r>
      <w:r>
        <w:rPr>
          <w:rFonts w:ascii="Microsoft YaHei" w:cs="Microsoft YaHei" w:eastAsia="Microsoft YaHei" w:hAnsi="Microsoft YaHei"/>
          <w:b w:val="false"/>
          <w:bCs w:val="false"/>
          <w:i w:val="false"/>
          <w:iCs w:val="false"/>
          <w:color w:val="1E293B"/>
          <w:sz w:val="22"/>
          <w:szCs w:val="22"/>
        </w:rPr>
        <w:t xml:space="preserve"> · 家用电器制造 (GBT 3851) (GBT 3851)</w:t>
      </w:r>
    </w:p>
    <w:p>
      <w:pPr>
        <w:spacing w:after="80"/>
      </w:pPr>
      <w:r>
        <w:rPr>
          <w:rFonts w:ascii="Microsoft YaHei" w:cs="Microsoft YaHei" w:eastAsia="Microsoft YaHei" w:hAnsi="Microsoft YaHei"/>
          <w:b/>
          <w:bCs/>
          <w:i w:val="false"/>
          <w:iCs w:val="false"/>
          <w:color w:val="1E293B"/>
          <w:sz w:val="22"/>
          <w:szCs w:val="22"/>
        </w:rPr>
        <w:t xml:space="preserve">灯塔类型：</w:t>
      </w:r>
      <w:r>
        <w:rPr>
          <w:rFonts w:ascii="Microsoft YaHei" w:cs="Microsoft YaHei" w:eastAsia="Microsoft YaHei" w:hAnsi="Microsoft YaHei"/>
          <w:b w:val="false"/>
          <w:bCs w:val="false"/>
          <w:i w:val="false"/>
          <w:iCs w:val="false"/>
          <w:color w:val="1E293B"/>
          <w:sz w:val="22"/>
          <w:szCs w:val="22"/>
        </w:rPr>
        <w:t xml:space="preserve">端到端</w:t>
      </w:r>
    </w:p>
    <w:p>
      <w:pPr>
        <w:spacing w:after="80"/>
      </w:pPr>
      <w:r>
        <w:rPr>
          <w:rFonts w:ascii="Microsoft YaHei" w:cs="Microsoft YaHei" w:eastAsia="Microsoft YaHei" w:hAnsi="Microsoft YaHei"/>
          <w:b/>
          <w:bCs/>
          <w:i w:val="false"/>
          <w:iCs w:val="false"/>
          <w:color w:val="1E293B"/>
          <w:sz w:val="22"/>
          <w:szCs w:val="22"/>
        </w:rPr>
        <w:t xml:space="preserve">批次/发布日期：</w:t>
      </w:r>
      <w:r>
        <w:rPr>
          <w:rFonts w:ascii="Microsoft YaHei" w:cs="Microsoft YaHei" w:eastAsia="Microsoft YaHei" w:hAnsi="Microsoft YaHei"/>
          <w:b w:val="false"/>
          <w:bCs w:val="false"/>
          <w:i w:val="false"/>
          <w:iCs w:val="false"/>
          <w:color w:val="1E293B"/>
          <w:sz w:val="22"/>
          <w:szCs w:val="22"/>
        </w:rPr>
        <w:t xml:space="preserve">第12批 · 2024年10月</w:t>
      </w: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5大核心案例</w:t>
      </w:r>
    </w:p>
    <w:p>
      <w:pPr>
        <w:pStyle w:val="Heading3"/>
        <w:spacing w:after="100"/>
      </w:pPr>
      <w:r>
        <w:rPr>
          <w:rFonts w:ascii="Microsoft YaHei" w:cs="Microsoft YaHei" w:eastAsia="Microsoft YaHei" w:hAnsi="Microsoft YaHei"/>
          <w:b/>
          <w:bCs/>
          <w:i w:val="false"/>
          <w:iCs w:val="false"/>
          <w:color w:val="1E293B"/>
          <w:sz w:val="26"/>
          <w:szCs w:val="26"/>
        </w:rPr>
        <w:t xml:space="preserve">? 1 性能预测模型优化制冷系统设计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痛点：全球130国气候差异大，制冷设计依赖人工反复试验，开发周期长且参数优化效率低。</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方案：集成海外数万条仿真和实测数据，建立制冷性能预测模型，AI自动优化设计参数。</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数据汇聚：汇聚全球多物理场仿真数据+实测数据至统一数据平台，覆盖不同气候区域运行工况 Step 2 — 模型训练：基于海量数据训练制冷系统性能预测模型，自动评估不同参数组合效果 Step 3 — 智能优化：智能算法自动推荐最优制冷设计参数，替代人工反复试验 Step 4 — 验证迭代：样机评估验证效率提升62%，快速迭代产品设计</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02.01.01 | 05.01.02 | 03.02.02</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基于CAD/CAE工具构建制冷系统的多物理场仿真模型，涵盖热力学、流体力学、电气等多学科耦合，支撑全球不同气候区域的制冷性能预测。</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利用机器学习算法从数万条历史仿真和实验数据中学习制冷性能规律，通过智能算法自动优化制冷设计参数，替代传统人工反复试验，将设计从"经验驱动"升级为"数据驱动"。</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建立从设计需求到仿真验证的数字线程，实现产品设计数据的全流程闭环流转，消除信息孤岛，加速设计迭代。</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核心成效：产品开发周期缩短49%，样机评估验证效率提升62%</w:t>
      </w:r>
    </w:p>
    <w:p>
      <w:pPr>
        <w:pStyle w:val="Heading3"/>
        <w:spacing w:after="100"/>
      </w:pPr>
      <w:r>
        <w:rPr>
          <w:rFonts w:ascii="Microsoft YaHei" w:cs="Microsoft YaHei" w:eastAsia="Microsoft YaHei" w:hAnsi="Microsoft YaHei"/>
          <w:b/>
          <w:bCs/>
          <w:i w:val="false"/>
          <w:iCs w:val="false"/>
          <w:color w:val="1E293B"/>
          <w:sz w:val="26"/>
          <w:szCs w:val="26"/>
        </w:rPr>
        <w:t xml:space="preserve">? 2 先进算法海外订单动态调度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痛点：海外订单复杂多变、航运周期不稳定，传统排产方式难以平衡产线负荷与交期。</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方案：运用预测算法+双种群进化算法，实现产线能力精准预测和自适应动态调度。</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订单接入：对接全球订单系统，实时获取130个国家和地区的订单交付要求与约束条件 Step 2 — 能力建模：预测算法建模产线能力、瓶颈工位与换产成本，建立精确的产能数字画像 Step 3 — 智能排产：双种群进化算法在订单约束与产能约束之间寻优，自动生成全局最优排产方案 Step 4 — 自适应调优：根据订单变化和产线实时状态，自适应调整换产频次和排产计划</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02.03.02 | 04.02.03 | 03.03.03</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利用APS系统整合物料、产能、工艺、交期等多维约束条件，通过双种群进化算法在复杂解空间中高效搜索全局最优排产方案。</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基于历史订单数据和航运周期规律，利用预测算法对海外订单波动进行建模，提前预判需求变化，为产线能力储备提供决策依据。</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通过自适应动态调度算法实时响应订单变化，自动调节换产频次和批次大小，大幅减少换产时间浪费和产线空闲损失。</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核心成效：海外订单平均交付周期缩短19%，显著减少日换产次数</w:t>
      </w:r>
    </w:p>
    <w:p>
      <w:pPr>
        <w:pStyle w:val="Heading3"/>
        <w:spacing w:after="100"/>
      </w:pPr>
      <w:r>
        <w:rPr>
          <w:rFonts w:ascii="Microsoft YaHei" w:cs="Microsoft YaHei" w:eastAsia="Microsoft YaHei" w:hAnsi="Microsoft YaHei"/>
          <w:b/>
          <w:bCs/>
          <w:i w:val="false"/>
          <w:iCs w:val="false"/>
          <w:color w:val="1E293B"/>
          <w:sz w:val="26"/>
          <w:szCs w:val="26"/>
        </w:rPr>
        <w:t xml:space="preserve">? 3 真空度预测模型吸尘标准自调节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痛点：空调系统内部真空度难以直接检测，依赖外部粗略估算，偏差影响制冷性能和产品寿命。</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方案：利用SVR算法构建真空度预测模型，打开检测"黑箱"，实现抽空标准自调优。</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数据采集：大量仿真+实测采集抽真空过程的多维参数数据（压力、温度、时间等） Step 2 — 模型构建：基于支持向量回归(SVR)算法训练真空度预测模型，建立内部真空度与外部参数映射 Step 3 — 实时预测：模型在线实时预测内部真空度，替代传统"经验估算"，实现精准品质控制 Step 4 — 异常预警：实时分析+预警抽空异常，自动调整抽空标准，保障每一台空调出厂品质</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05.01.02 | 05.02.03 | 03.03.04</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利用支持向量回归算法处理非线性、小样本的真空度数据，构建高精度预测模型。SVR在处理工业过程数据时具有泛化能力强、不易过拟合的优势。</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通过实时数据流处理技术，对每一台空调的抽真空过程进行在线监测，模型实时判断是否达标并预警异常，实现从"抽检"到"全检"的品质管控升级。</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根据不同气候区域的真空标准要求，模型自动调节抽空参数阈值，实现抽空标准的自适应调优，满足全球130国差异化需求。</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核心成效：内部真空度精准预测，"黑箱"检测被打开，抽空品质大幅提升（贡献质量缺陷诊断周期↓75%）</w:t>
      </w:r>
    </w:p>
    <w:p>
      <w:pPr>
        <w:pStyle w:val="Heading3"/>
        <w:spacing w:after="100"/>
      </w:pPr>
      <w:r>
        <w:rPr>
          <w:rFonts w:ascii="Microsoft YaHei" w:cs="Microsoft YaHei" w:eastAsia="Microsoft YaHei" w:hAnsi="Microsoft YaHei"/>
          <w:b/>
          <w:bCs/>
          <w:i w:val="false"/>
          <w:iCs w:val="false"/>
          <w:color w:val="1E293B"/>
          <w:sz w:val="26"/>
          <w:szCs w:val="26"/>
        </w:rPr>
        <w:t xml:space="preserve">? 4 ML全球云实验室专家系统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痛点：全球各地实验室数据不互通，故障诊断依赖本地专家经验，响应慢且知识难以沉淀。</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方案：全球实验数据汇聚云端，基于ML构建专家系统，远程智能诊断并推送建议。</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数据打通：打破全球各实验室数据壁垒，将分散的实验数据统一汇聚至云端平台 Step 2 — 知识构建：基于海量实验数据，利用ML构建故障诊断专家系统知识库 Step 3 — 智能诊断：云端诊断引擎快速匹配故障模式，自动给出诊断建议 Step 4 — 远程赋能：诊断结果实时推送至本地工程师，降低对现场专家经验依赖</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05.03.01 | 05.01.03 | 05.03.03</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基于海尔卡奥斯COSMOPlat工业互联网平台，将全球实验室的产品实验数据、故障案例、诊断经验统一汇聚云端，打破地域数据隔离。</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利用知识图谱技术构建暖通空调故障诊断知识库，将分散的专家经验沉淀为可查询、可推理的结构化知识，实现诊断能力从"人"到"系统"的转移。</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云端负责模型训练和知识更新，边缘端负责现场推理和执行，确保在网络不稳定时仍能自主决策，响应速度达毫秒级，规避传统云控延迟风险。</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核心成效：评估效率提升25%，全球实验数据共享，诊断效率提升75%</w:t>
      </w:r>
    </w:p>
    <w:p>
      <w:pPr>
        <w:pStyle w:val="Heading3"/>
        <w:spacing w:after="100"/>
      </w:pPr>
      <w:r>
        <w:rPr>
          <w:rFonts w:ascii="Microsoft YaHei" w:cs="Microsoft YaHei" w:eastAsia="Microsoft YaHei" w:hAnsi="Microsoft YaHei"/>
          <w:b/>
          <w:bCs/>
          <w:i w:val="false"/>
          <w:iCs w:val="false"/>
          <w:color w:val="1E293B"/>
          <w:sz w:val="26"/>
          <w:szCs w:val="26"/>
        </w:rPr>
        <w:t xml:space="preserve">? 5 AI海外空调预测性诊断与维修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痛点：海外维修响应慢、工人技能不均，被动维修导致用户投诉率高，服务质量难以保障。</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方案：基于天智工业大模型+GenAI，融合维修数据构建智能维修专家，主动预测故障。</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数据底座：实时采集全球空调运行参数（温度、压力、电流等），建立设备健康档案 Step 2 — 模型训练：天智工业大模型融合海量维修历史数据+空调运行参数，训练故障预测诊断模型 Step 3 — 主动预警：GenAI智能体主动预测潜在故障，提前生成维修方案并推送给客户和维修团队 Step 4 — 远程指导：通过AR/远程方式指导现场维修操作，降低对海外维修人员技能依赖</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05.01.01 | 05.01.04 | 08.02.01</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基于卡奥斯COSMOPlat自主研发的天智工业大模型，融合空调维修领域大数据与生成式AI技术，构建智能维修专家。以智能体赋能企业维保数字化转型，通过实时采集空调运行参数，实现对产品的实时预测与维护。</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通过大模型分析设备运行参数的异常模式，提前预测故障发生的时间和类型，在用户感知到问题之前主动推送维修服务，实现用户投诉率下降75%。</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建立设备全生命周期健康监测体系，通过AI分析运行数据优化维护策略，延长设备使用寿命，降低非计划停机，提升海外服务质量和客户满意度。</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核心成效：质量缺陷诊断周期↓75%，平均维修时间↓33%，海外故障↓28%，用户投诉率↓75%</w:t>
      </w:r>
    </w:p>
    <w:p>
      <w:pPr>
        <w:pStyle w:val="Heading2"/>
        <w:spacing w:after="100"/>
      </w:pPr>
      <w:r>
        <w:rPr>
          <w:rFonts w:ascii="Microsoft YaHei" w:cs="Microsoft YaHei" w:eastAsia="Microsoft YaHei" w:hAnsi="Microsoft YaHei"/>
          <w:b/>
          <w:bCs/>
          <w:i w:val="false"/>
          <w:iCs w:val="false"/>
          <w:color w:val="1A56DB"/>
          <w:sz w:val="30"/>
          <w:szCs w:val="30"/>
        </w:rPr>
        <w:t xml:space="preserve">绩效改善总览</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000"/>
        <w:gridCol w:w="2000"/>
        <w:gridCol w:w="4026"/>
      </w:tblGrid>
      <w:tr>
        <w:tc>
          <w:tcPr>
            <w:tcW w:type="dxa" w:w="3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指标</w:t>
            </w:r>
          </w:p>
        </w:tc>
        <w:tc>
          <w:tcPr>
            <w:tcW w:type="dxa" w:w="2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pPr>
              <w:jc w:val="center"/>
            </w:pPr>
            <w:r>
              <w:rPr>
                <w:rFonts w:ascii="Arial" w:cs="Arial" w:eastAsia="Arial" w:hAnsi="Arial"/>
                <w:b/>
                <w:bCs/>
                <w:color w:val="FFFFFF"/>
                <w:sz w:val="21"/>
                <w:szCs w:val="21"/>
              </w:rPr>
              <w:t xml:space="preserve">改善</w:t>
            </w:r>
          </w:p>
        </w:tc>
        <w:tc>
          <w:tcPr>
            <w:tcW w:type="dxa" w:w="4026"/>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技术手段</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设计周期</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↓49%</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制冷系统设计从反复仿真试验变为AI预测驱动，产品开发周期压缩</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交付周期</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↓19%</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海外订单智能调度减少换产浪费，自适应排产平衡产线负荷，交付响</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评估效率</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↑25%</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全球云实验室打通数据孤岛，ML专家系统赋能，实验室评估效率全</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质量缺陷诊断周期</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↓75%</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AI预测性诊断替代被动维修，从"坏了再修"到"未坏先修"，诊</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平均维修时间</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↓33%</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GenAI智能维修专家赋能现场工程师，远程指导精准维修，降低</w:t>
            </w:r>
          </w:p>
        </w:tc>
      </w:tr>
    </w:tbl>
    <w:p>
      <w:pPr>
        <w:spacing w:after="100"/>
      </w:pP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可复制性分析</w:t>
      </w:r>
    </w:p>
    <w:p>
      <w:pPr>
        <w:spacing w:after="80"/>
      </w:pPr>
      <w:r>
        <w:rPr>
          <w:rFonts w:ascii="Microsoft YaHei" w:cs="Microsoft YaHei" w:eastAsia="Microsoft YaHei" w:hAnsi="Microsoft YaHei"/>
          <w:b w:val="false"/>
          <w:bCs w:val="false"/>
          <w:i w:val="false"/>
          <w:iCs w:val="false"/>
          <w:color w:val="1E293B"/>
          <w:sz w:val="21"/>
          <w:szCs w:val="21"/>
        </w:rPr>
        <w:t xml:space="preserve">&amp;#x1F3E2; 企业规模 海尔集团旗下互联工厂，年产能数百万台，产品出口全球130个国家 &amp;#x1F4B0; 投入规模 数字基础设施升级+AI平台部署，估计数千万至亿元级别 &amp;#x23F1;&amp;#xFE0F; 实施周期 分阶段推进，核心系统部署约2-3年 &amp;#x1F3AF; 关键技术门槛 需具备仿真数据积累+工业AI平台建设能力+云边协同架构 &amp;#x1F449; 适合什么企业参考 有海外出口业务的离散制造业企业，尤其是产品种类多、面向多气候/多区域市场的空调/暖通企业；有仿真实验数据积累的家电/电子制造企业；正在推进"研产供销服"全价值链数字化的集团型企业</w:t>
      </w:r>
    </w:p>
    <w:p>
      <w:pPr>
        <w:pStyle w:val="Heading2"/>
        <w:spacing w:after="100"/>
      </w:pPr>
      <w:r>
        <w:rPr>
          <w:rFonts w:ascii="Microsoft YaHei" w:cs="Microsoft YaHei" w:eastAsia="Microsoft YaHei" w:hAnsi="Microsoft YaHei"/>
          <w:b/>
          <w:bCs/>
          <w:i w:val="false"/>
          <w:iCs w:val="false"/>
          <w:color w:val="1A56DB"/>
          <w:sz w:val="30"/>
          <w:szCs w:val="30"/>
        </w:rPr>
        <w:t xml:space="preserve">行业对标</w:t>
      </w:r>
    </w:p>
    <w:p>
      <w:pPr>
        <w:pStyle w:val="Heading2"/>
        <w:spacing w:after="100"/>
      </w:pPr>
      <w:r>
        <w:rPr>
          <w:rFonts w:ascii="Microsoft YaHei" w:cs="Microsoft YaHei" w:eastAsia="Microsoft YaHei" w:hAnsi="Microsoft YaHei"/>
          <w:b/>
          <w:bCs/>
          <w:i w:val="false"/>
          <w:iCs w:val="false"/>
          <w:color w:val="1A56DB"/>
          <w:sz w:val="30"/>
          <w:szCs w:val="30"/>
        </w:rPr>
        <w:t xml:space="preserve">互动</w:t>
      </w:r>
    </w:p>
    <w:p>
      <w:pPr>
        <w:spacing w:after="80"/>
      </w:pPr>
      <w:r>
        <w:rPr>
          <w:rFonts w:ascii="Microsoft YaHei" w:cs="Microsoft YaHei" w:eastAsia="Microsoft YaHei" w:hAnsi="Microsoft YaHei"/>
          <w:b w:val="false"/>
          <w:bCs w:val="false"/>
          <w:i w:val="false"/>
          <w:iCs w:val="false"/>
          <w:color w:val="64748B"/>
          <w:sz w:val="21"/>
          <w:szCs w:val="21"/>
        </w:rPr>
        <w:t xml:space="preserve">&amp;#x1F4E5; 下载此案例（多种格式） &amp;#x1F310; 网页 &amp;#x1F4FD;&amp;#xFE0F; 幻灯片 &amp;#x1F4CA; PPTX &amp;#x1F4C4; DOCX &amp;#x1F5C2;&amp;#xFE0F; JSON &amp;#x1F4DD; MD &amp;#x1F4CB; CSV</w:t>
      </w:r>
    </w:p>
    <w:p>
      <w:pPr>
        <w:spacing w:after="60" w:before="100"/>
        <w:jc w:val="center"/>
      </w:pPr>
      <w:r>
        <w:rPr>
          <w:rFonts w:ascii="Microsoft YaHei" w:cs="Microsoft YaHei" w:eastAsia="Microsoft YaHei" w:hAnsi="Microsoft YaHei"/>
          <w:b w:val="false"/>
          <w:bCs w:val="false"/>
          <w:i w:val="false"/>
          <w:iCs w:val="false"/>
          <w:color w:val="94A3B8"/>
          <w:sz w:val="18"/>
          <w:szCs w:val="18"/>
        </w:rPr>
        <w:t xml:space="preserve">&amp;#x2764;&amp;#xFE0F; 点「在看」，让更多同行看到 &amp;#x1F4CC; 数据来源：WEF Global Lighthouse Network 官方发布 &amp;middot; 第12批 &amp;middot; 2024年10月 | 海尔集团 / 卡奥斯COSMOPlat 官方资料 || Data Source: WEF Global Lighthouse Network Official Release &amp;middot; Batch 12 &amp;middot; Oct 2024 | Haier Group / COSMOPlat Official Materials 老陈说灯塔 &amp;middot; 每周一个灯塔工厂深度拆解</w:t>
      </w:r>
    </w:p>
    <w:p>
      <w:pPr>
        <w:spacing w:after="100"/>
      </w:pPr>
    </w:p>
    <w:p>
      <w:pPr>
        <w:spacing w:after="60" w:before="200"/>
        <w:jc w:val="center"/>
      </w:pPr>
      <w:r>
        <w:rPr>
          <w:rFonts w:ascii="Microsoft YaHei" w:cs="Microsoft YaHei" w:eastAsia="Microsoft YaHei" w:hAnsi="Microsoft YaHei"/>
          <w:b w:val="false"/>
          <w:bCs w:val="false"/>
          <w:i w:val="false"/>
          <w:iCs w:val="false"/>
          <w:color w:val="94A3B8"/>
          <w:sz w:val="18"/>
          <w:szCs w:val="18"/>
        </w:rPr>
        <w:t xml:space="preserve">数据来源：世界经济论坛（WEF）全球灯塔网络 · 公开报道</w:t>
      </w:r>
    </w:p>
    <w:p>
      <w:pPr>
        <w:spacing w:after="100"/>
        <w:jc w:val="center"/>
      </w:pPr>
      <w:r>
        <w:rPr>
          <w:rFonts w:ascii="Microsoft YaHei" w:cs="Microsoft YaHei" w:eastAsia="Microsoft YaHei" w:hAnsi="Microsoft YaHei"/>
          <w:b w:val="false"/>
          <w:bCs w:val="false"/>
          <w:i w:val="false"/>
          <w:iCs w:val="false"/>
          <w:color w:val="94A3B8"/>
          <w:sz w:val="18"/>
          <w:szCs w:val="18"/>
        </w:rPr>
        <w:t xml:space="preserve">老陈说灯塔 · 每周一个灯塔工厂深度拆解</w:t>
      </w:r>
    </w:p>
    <w:sectPr>
      <w:pgSz w:w="11906" w:h="16838" w:orient="portrait"/>
      <w:pgMar w:top="1134"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YaHei" w:cs="Microsoft YaHei" w:eastAsia="Microsoft YaHei" w:hAnsi="Microsoft YaHe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ormal">
    <w:name w:val="Normal"/>
    <w:rPr>
      <w:rFonts w:ascii="Microsoft YaHei" w:cs="Microsoft YaHei" w:eastAsia="Microsoft YaHei" w:hAnsi="Microsoft YaHei"/>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2026-08-12T12:29:18.612Z</dcterms:created>
  <dcterms:modified xsi:type="dcterms:W3CDTF">2026-08-12T12:29:18.621Z</dcterms:modified>
</cp:coreProperties>
</file>

<file path=docProps/custom.xml><?xml version="1.0" encoding="utf-8"?>
<Properties xmlns="http://schemas.openxmlformats.org/officeDocument/2006/custom-properties" xmlns:vt="http://schemas.openxmlformats.org/officeDocument/2006/docPropsVTypes"/>
</file>