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200"/>
        <w:jc w:val="center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44"/>
          <w:szCs w:val="44"/>
        </w:rPr>
        <w:t xml:space="preserve">灯塔案例｜默克生物技术研发中心</w:t>
      </w:r>
    </w:p>
    <w:p>
      <w:pPr>
        <w:spacing w:after="100"/>
      </w:pPr>
    </w:p>
    <w:p>
      <w:pPr>
        <w:spacing w:after="60"/>
        <w:ind w:left="567"/>
      </w:pPr>
      <w:r>
        <w:rPr>
          <w:rFonts w:ascii="Microsoft YaHei" w:cs="Microsoft YaHei" w:eastAsia="Microsoft YaHei" w:hAnsi="Microsoft YaHei"/>
          <w:b/>
          <w:bCs/>
          <w:i/>
          <w:iCs/>
          <w:color w:val="1A56DB"/>
          <w:sz w:val="26"/>
          <w:szCs w:val="26"/>
        </w:rPr>
        <w:t xml:space="preserve">将生物制剂从批次式生产转向连续化加工，新药交付周期缩短50%，实验室人效跃升67%，新建工厂资本开支降低80%——默克以自动化、机器人与模块化生产环境，重新定义了生物制药的研发制造范式。</w:t>
      </w:r>
    </w:p>
    <w:p>
      <w:pPr>
        <w:spacing w:after="200"/>
        <w:ind w:left="567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64748B"/>
          <w:sz w:val="20"/>
          <w:szCs w:val="20"/>
        </w:rPr>
        <w:t xml:space="preserve">—— 默克生物技术研发中心 · 第16批 · 客户至上灯塔 · 2026年06月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企业名片</w:t>
      </w:r>
    </w:p>
    <w:p>
      <w:pPr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2E7D32"/>
          <w:sz w:val="28"/>
          <w:szCs w:val="28"/>
        </w:rPr>
        <w:t xml:space="preserve">🔖 灯塔编码：24716CH01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企业名称：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默克生物技术研发中心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工厂所在地：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瑞士 · 瑞士 · Fenil-sur-Corsier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所属行业：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 · 医药医疗（生物制药） (GBT )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灯塔类型：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客户至上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批次/发布日期：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第16批 · 2026年06月</w:t>
      </w:r>
    </w:p>
    <w:p>
      <w:pPr>
        <w:spacing w:after="100"/>
      </w:pP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3大核心案例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① ① 连续化生物制剂生产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痛点：传统批次式生产模式下，每批生物制剂需经历培养→收获→纯化的串行周期，工艺切换耗时长、设备利用率低，单批次周期往往长达数周，严重制约新药从研发到患者的交付速度。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方案：将生物制剂生产从批次式全面升级为连续化加工工艺，以灌流培养替代批次培养，以连续层析替代批次纯化，配合实时过程分析技术实现闭环控制。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灌流培养系统部署：以灌流生物反应器替代批次式发酵罐，实现细胞持续培养与产物连续收获，单反应器产能密度提升数倍。 Step 2 — 连续下游纯化链搭建：串联连续层析柱与病毒灭活/过滤单元，消除批次间的设备清洗与切换闲置时间。 Step 3 — 实时过程分析技术集成：在线监控关键质量属性与过程参数，闭环反馈自动调节灌流速率、pH值与补料策略。 Step 4 — 工艺建模与动态优化：构建机理-数据混合模型，模拟不同操作条件下的产率与质量，持续优化稳态工艺窗口。 Step 5 — 规模化验证与转移：在GMP临床生产环境中完成连续工艺的合规验证，形成可复用的标准化连续化平台。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02.03.01 | 05.01.02 | 05.02.03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MES系统将灌流培养、连续纯化、在线检测等环节串联为统一数字主线，自动采集关键工艺参数形成实时电子批记录，确保GMP合规性并消除人工转录误差。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基于历史批次数据训练的ML模型实时预测关键质量属性趋势，动态调整灌流速率和层析梯度，将工艺漂移控制在±5%以内。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在线拉曼光谱与多角度光散射检测器持续监测蛋白浓度、聚集体含量与糖基化分布，替代传统的离线QC取样，将检测周期从天级缩短至分钟级。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核心成效：新药交付周期缩短50%（Speed to patient ↓50%），生产线设备利用率提升至接近连续运行状态，单批次生产周期从数周压缩至数天。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② ② 自动化模块化GMP生产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痛点：GMP临床生产车间建设周期长、固定投资大，传统硬连接产线难以适应多品种、小批量的生物制剂生产需求，且新建商业化工厂往往需要数亿美元资本投入。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方案：将GMP生产环境重构为模块化、可快速重组的自动化单元，以预验证的模块替代定制化工程，以自动化设备减少人工干预，实现"即插即产"的柔性GMP生产能力。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模块化洁净室单元设计：将配液、培养、纯化、灌装等工序拆分为独立预验证模块，各模块自带环境控制与数据接口。 Step 2 — 自动化物料转运系统部署：单次使用管路与自动无菌连接器消除CIP/SIP需求，缩短批次间切换时间。 Step 3 — 数字化GMP合规中台上线：统一管理各模块的电子批记录、环境监控数据与偏差管理，实现无纸化GMP运营。 Step 4 — 模块化产线快速重组验证：建立预验证的模块组合模板，新工艺导入时只需重新配置模块连接而非重建车间。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03.03.01 | 03.03.02 | 01.02.04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各生产模块通过标准化物理接口和数据协议互联，换产时仅需切换一次性管路和工艺配方，无需进行大规模的车间级清洁验证，换产周期从数周压缩至数天。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自动化灌装系统、机器人隔离器与单次使用生物反应器协同工作，将人工操作步骤从数百个减少至十几个，在大幅降低人为污染风险的同时提升批次一致性。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统一的设备控制层协议使不同供应商的模块化设备无缝接入同一DCS，工艺配方一键下发至各模块，消除设备间"信息孤岛"。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核心成效：新建商业化工厂资本开支降低80%（Capex for new plant ↓80%），模块化产线可快速复制部署，新工厂从立项到投产周期大幅压缩。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③ ③ 机器人辅助实验室运营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痛点：生物制剂研发中大量重复性实验操作（如移液、加样、离心、孵育）占用科学家大量时间，实验通量与可重复性受限于人工操作精度，数据分析与记录耗时且易出错。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方案：以协作机器人和自动化液体处理工作站替代人工重复实验操作，搭建集实验设计→执行→分析于一体的数字化实验室平台，让科学家聚焦于假设提出与结果解读等高价值工作。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自动化液体处理工作站部署：以多通道移液机器人覆盖常规加样、稀释、混合操作，实现96/384孔板高通量并行处理。 Step 2 — 协作机器人集成实验室流程：机器人完成孔板转运、离心机装卸、孵育器存取等跨设备衔接动作，消除实验流程中的人工搬运断点。 Step 3 — 数字化实验设计与数据中台上线：实验设计直接转化为机器可读操作指令，实验结果自动采集、标注并回传数据中台。 Step 4 — AI辅助数据分析与实验推荐：机器学习模型自动识别异常数据点，并根据历史实验数据推荐下一轮最优实验条件。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01.02.03 | 05.01.01 | 05.02.01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协作机器人在无物理隔离条件下与科学家共享实验空间，通过力传感器和视觉系统确保安全交互，完成孔板转运、试剂分装等重复性操作，使科学家从"操作员"转变为"决策者"。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大语言模型辅助科学家进行文献挖掘和实验方案生成，机器学习模型自动分析高通量实验数据中的多变量交互效应，将数据分析效率提升数倍。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统一的数据中台将每个实验的条件、原始数据、分析结果结构化存储，构建可检索的实验知识库，避免重复实验和历史数据沉睡。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核心成效：实验室劳动生产率提升67%（Lab productivity ↑67%），科学家从事高价值脑力工作的时间占比从不足40%提升至70%以上，实验通量提升3-5倍。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绩效改善总览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000"/>
        <w:gridCol w:w="2000"/>
        <w:gridCol w:w="4026"/>
      </w:tblGrid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1"/>
                <w:szCs w:val="21"/>
              </w:rPr>
              <w:t xml:space="preserve">指标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21"/>
                <w:szCs w:val="21"/>
              </w:rPr>
              <w:t xml:space="preserve">改善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1"/>
                <w:szCs w:val="21"/>
              </w:rPr>
              <w:t xml:space="preserve">技术手段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新药交付周期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↓50%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连续化工艺消除批次间等待，从研发到患者的全链条周期大幅压缩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实验室劳动生产率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↑67%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机器人替代重复操作，科学家聚焦高价值脑力工作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新建工厂资本开支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↓80%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模块化GMP单元替代定制化工程，预验证模块可快速复制</w:t>
            </w:r>
          </w:p>
        </w:tc>
      </w:tr>
    </w:tbl>
    <w:p>
      <w:pPr>
        <w:spacing w:after="100"/>
      </w:pPr>
    </w:p>
    <w:p>
      <w:pPr>
        <w:spacing w:after="100"/>
      </w:pP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可复制性分析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🏢 企业规模 跨国药企研发中心 💰 投入规模 数千万至亿美元级 ⏱️ 实施周期 2-4年分阶段推进 🎯 关键技术门槛 连续化工艺开发 + GMP验证能力 👉 适合什么企业参考 拥有生物制剂研发管线的大中型药企、CDMO企业、生物技术公司。连续化工艺尤其适合产品线多、追求快速交付的企业；模块化GMP方案对计划新建或扩建产能的企业尤为适用。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技术全景图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🗺️ 技术全景图 01 智能装备 ✔️ 02 工业软件 ✔️ 03 智能工厂 ✔️ 04 智慧供应链 · 05 智能赋能技术 ✔️ 06 智能制造新模式 · 07 工业网络 ✔️ 08 系统安全 · 09 绿色可持续 · 已覆盖（5/9） 未涉及 WEF重点技术覆盖率：~40%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行业对标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🏭 行业对标视角 国标分类路径：医药制造业 → 生物药品制造（GB/T 2720） 📌 医药医疗行业在灯塔网络中已有约12个成员（含本案例），分布在客户至上、生产效率与端到端同步三大方向。24716CH01是全球首个聚焦生物制剂连续化生产工艺的灯塔标杆。 🏭 拜尔生物制药（德国） 第4批 · 医药医疗 🏭 强生杨森制药拉蒂纳（意大利） 第6批 · 医药医疗 🏭 梯瓦制药阿姆斯特丹（荷兰） 第7批 · 医药医疗 🏭 强生杨森制药科克（爱尔兰） 第9批 · 医药医疗 ⭐ 默克生物技术研发中心（瑞士） 第16批 · 客户至上 · 👈 本文 🏭 太极集团涪陵制药（中国） 第16批 · 生产效率 💡 差异化破局点与同行业灯塔相比，24716CH01的独特价值不在产线自动化（这是医药行业的普遍实践），而在于"连续化工艺+模块化GMP+机器人实验室"三位一体的研发制造范式重构。这是一次从底层工艺逻辑出发的系统性创新，而非对现有模式的渐进优化。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互动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💬 互动 你认为连续化生产能否成为生物制药的工业标准？批次式GMP在哪些场景下仍有不可替代的优势？ 👇 欢迎在评论区分享你的经验与困惑 📊 灯塔名录 回复【名录】获取完整名单 🔍 灯塔案例 回复【分析+企业名】 🦞 灯塔虾评 回复【自测】评估差距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64748B"/>
          <w:sz w:val="21"/>
          <w:szCs w:val="21"/>
        </w:rPr>
        <w:t xml:space="preserve">📥 下载此案例（多种格式） 🌐 网页 📽️ 幻灯片 📊 PPTX 📄 DOCX 🗂️ JSON 📝 MD 📋 CSV</w:t>
      </w:r>
    </w:p>
    <w:p>
      <w:pPr>
        <w:spacing w:after="60" w:before="1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❤️ 点「在看」，让更多同行看到 数据来源：WEF全球灯塔网络第16批官方公告（2026年6月22日发布）、V3主数据 老陈说灯塔 · 每周一个灯塔工厂深度拆解</w:t>
      </w:r>
    </w:p>
    <w:p>
      <w:pPr>
        <w:spacing w:after="100"/>
      </w:pPr>
    </w:p>
    <w:p>
      <w:pPr>
        <w:spacing w:after="60" w:before="2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数据来源：世界经济论坛（WEF）全球灯塔网络 · 公开报道</w:t>
      </w:r>
    </w:p>
    <w:p>
      <w:pPr>
        <w:spacing w:after="1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老陈说灯塔 · 每周一个灯塔工厂深度拆解</w:t>
      </w:r>
    </w:p>
    <w:sectPr>
      <w:pgSz w:w="11906" w:h="16838" w:orient="portrait"/>
      <w:pgMar w:top="1134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icrosoft YaHei" w:cs="Microsoft YaHei" w:eastAsia="Microsoft YaHei" w:hAnsi="Microsoft YaHei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Normal">
    <w:name w:val="Normal"/>
    <w:rPr>
      <w:rFonts w:ascii="Microsoft YaHei" w:cs="Microsoft YaHei" w:eastAsia="Microsoft YaHei" w:hAnsi="Microsoft YaHei"/>
      <w:sz w:val="22"/>
      <w:szCs w:val="22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2026-07-03T10:40:09.905Z</dcterms:created>
  <dcterms:modified xsi:type="dcterms:W3CDTF">2026-07-03T10:40:09.926Z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