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200"/>
        <w:jc w:val="center"/>
      </w:pPr>
      <w:r>
        <w:rPr>
          <w:rFonts w:ascii="Microsoft YaHei" w:cs="Microsoft YaHei" w:eastAsia="Microsoft YaHei" w:hAnsi="Microsoft YaHei"/>
          <w:b/>
          <w:bCs/>
          <w:i w:val="false"/>
          <w:iCs w:val="false"/>
          <w:color w:val="1E293B"/>
          <w:sz w:val="44"/>
          <w:szCs w:val="44"/>
        </w:rPr>
        <w:t xml:space="preserve">灯塔案例｜皇家宠物食品上海工厂</w:t>
      </w:r>
    </w:p>
    <w:p>
      <w:pPr>
        <w:spacing w:after="100"/>
      </w:pPr>
    </w:p>
    <w:p>
      <w:pPr>
        <w:spacing w:after="60"/>
        <w:ind w:left="567"/>
      </w:pPr>
      <w:r>
        <w:rPr>
          <w:rFonts w:ascii="Microsoft YaHei" w:cs="Microsoft YaHei" w:eastAsia="Microsoft YaHei" w:hAnsi="Microsoft YaHei"/>
          <w:b/>
          <w:bCs/>
          <w:i/>
          <w:iCs/>
          <w:color w:val="1A56DB"/>
          <w:sz w:val="26"/>
          <w:szCs w:val="26"/>
        </w:rPr>
        <w:t xml:space="preserve">超400款产品、40余项先进技术——皇家宠物食品上海工厂以生成式AI重塑个性化宠粮制造全链路，客户满意度提升20%，缺陷率骤降70%，拿下全球宠物行业首个灯塔工厂称号。</w:t>
      </w:r>
    </w:p>
    <w:p>
      <w:pPr>
        <w:spacing w:after="200"/>
        <w:ind w:left="567"/>
      </w:pPr>
      <w:r>
        <w:rPr>
          <w:rFonts w:ascii="Microsoft YaHei" w:cs="Microsoft YaHei" w:eastAsia="Microsoft YaHei" w:hAnsi="Microsoft YaHei"/>
          <w:b w:val="false"/>
          <w:bCs w:val="false"/>
          <w:i w:val="false"/>
          <w:iCs w:val="false"/>
          <w:color w:val="64748B"/>
          <w:sz w:val="20"/>
          <w:szCs w:val="20"/>
        </w:rPr>
        <w:t xml:space="preserve">—— 皇家宠物食品上海工厂 · 第16批 · 客户至上灯塔 · 2026年06月</w:t>
      </w:r>
    </w:p>
    <w:p>
      <w:pPr>
        <w:pStyle w:val="Heading2"/>
        <w:spacing w:after="100"/>
      </w:pPr>
      <w:r>
        <w:rPr>
          <w:rFonts w:ascii="Microsoft YaHei" w:cs="Microsoft YaHei" w:eastAsia="Microsoft YaHei" w:hAnsi="Microsoft YaHei"/>
          <w:b/>
          <w:bCs/>
          <w:i w:val="false"/>
          <w:iCs w:val="false"/>
          <w:color w:val="1A56DB"/>
          <w:sz w:val="30"/>
          <w:szCs w:val="30"/>
        </w:rPr>
        <w:t xml:space="preserve">企业名片</w:t>
      </w:r>
    </w:p>
    <w:p>
      <w:pPr>
        <w:spacing w:after="100"/>
      </w:pPr>
      <w:r>
        <w:rPr>
          <w:rFonts w:ascii="Microsoft YaHei" w:cs="Microsoft YaHei" w:eastAsia="Microsoft YaHei" w:hAnsi="Microsoft YaHei"/>
          <w:b/>
          <w:bCs/>
          <w:i w:val="false"/>
          <w:iCs w:val="false"/>
          <w:color w:val="2E7D32"/>
          <w:sz w:val="28"/>
          <w:szCs w:val="28"/>
        </w:rPr>
        <w:t xml:space="preserve">🔖 灯塔编码：24916CN03</w:t>
      </w:r>
    </w:p>
    <w:p>
      <w:pPr>
        <w:spacing w:after="80"/>
      </w:pPr>
      <w:r>
        <w:rPr>
          <w:rFonts w:ascii="Microsoft YaHei" w:cs="Microsoft YaHei" w:eastAsia="Microsoft YaHei" w:hAnsi="Microsoft YaHei"/>
          <w:b/>
          <w:bCs/>
          <w:i w:val="false"/>
          <w:iCs w:val="false"/>
          <w:color w:val="1E293B"/>
          <w:sz w:val="22"/>
          <w:szCs w:val="22"/>
        </w:rPr>
        <w:t xml:space="preserve">企业名称：</w:t>
      </w:r>
      <w:r>
        <w:rPr>
          <w:rFonts w:ascii="Microsoft YaHei" w:cs="Microsoft YaHei" w:eastAsia="Microsoft YaHei" w:hAnsi="Microsoft YaHei"/>
          <w:b w:val="false"/>
          <w:bCs w:val="false"/>
          <w:i w:val="false"/>
          <w:iCs w:val="false"/>
          <w:color w:val="1E293B"/>
          <w:sz w:val="22"/>
          <w:szCs w:val="22"/>
        </w:rPr>
        <w:t xml:space="preserve">皇家宠物食品上海工厂</w:t>
      </w:r>
    </w:p>
    <w:p>
      <w:pPr>
        <w:spacing w:after="80"/>
      </w:pPr>
      <w:r>
        <w:rPr>
          <w:rFonts w:ascii="Microsoft YaHei" w:cs="Microsoft YaHei" w:eastAsia="Microsoft YaHei" w:hAnsi="Microsoft YaHei"/>
          <w:b/>
          <w:bCs/>
          <w:i w:val="false"/>
          <w:iCs w:val="false"/>
          <w:color w:val="1E293B"/>
          <w:sz w:val="22"/>
          <w:szCs w:val="22"/>
        </w:rPr>
        <w:t xml:space="preserve">工厂所在地：</w:t>
      </w:r>
      <w:r>
        <w:rPr>
          <w:rFonts w:ascii="Microsoft YaHei" w:cs="Microsoft YaHei" w:eastAsia="Microsoft YaHei" w:hAnsi="Microsoft YaHei"/>
          <w:b w:val="false"/>
          <w:bCs w:val="false"/>
          <w:i w:val="false"/>
          <w:iCs w:val="false"/>
          <w:color w:val="1E293B"/>
          <w:sz w:val="22"/>
          <w:szCs w:val="22"/>
        </w:rPr>
        <w:t xml:space="preserve">中国 · 中国 · 上海</w:t>
      </w:r>
    </w:p>
    <w:p>
      <w:pPr>
        <w:spacing w:after="80"/>
      </w:pPr>
      <w:r>
        <w:rPr>
          <w:rFonts w:ascii="Microsoft YaHei" w:cs="Microsoft YaHei" w:eastAsia="Microsoft YaHei" w:hAnsi="Microsoft YaHei"/>
          <w:b/>
          <w:bCs/>
          <w:i w:val="false"/>
          <w:iCs w:val="false"/>
          <w:color w:val="1E293B"/>
          <w:sz w:val="22"/>
          <w:szCs w:val="22"/>
        </w:rPr>
        <w:t xml:space="preserve">所属行业：</w:t>
      </w:r>
      <w:r>
        <w:rPr>
          <w:rFonts w:ascii="Microsoft YaHei" w:cs="Microsoft YaHei" w:eastAsia="Microsoft YaHei" w:hAnsi="Microsoft YaHei"/>
          <w:b w:val="false"/>
          <w:bCs w:val="false"/>
          <w:i w:val="false"/>
          <w:iCs w:val="false"/>
          <w:color w:val="1E293B"/>
          <w:sz w:val="22"/>
          <w:szCs w:val="22"/>
        </w:rPr>
        <w:t xml:space="preserve"> · 消费品行业 · 宠物食品制造 (GBT )</w:t>
      </w:r>
    </w:p>
    <w:p>
      <w:pPr>
        <w:spacing w:after="80"/>
      </w:pPr>
      <w:r>
        <w:rPr>
          <w:rFonts w:ascii="Microsoft YaHei" w:cs="Microsoft YaHei" w:eastAsia="Microsoft YaHei" w:hAnsi="Microsoft YaHei"/>
          <w:b/>
          <w:bCs/>
          <w:i w:val="false"/>
          <w:iCs w:val="false"/>
          <w:color w:val="1E293B"/>
          <w:sz w:val="22"/>
          <w:szCs w:val="22"/>
        </w:rPr>
        <w:t xml:space="preserve">灯塔类型：</w:t>
      </w:r>
      <w:r>
        <w:rPr>
          <w:rFonts w:ascii="Microsoft YaHei" w:cs="Microsoft YaHei" w:eastAsia="Microsoft YaHei" w:hAnsi="Microsoft YaHei"/>
          <w:b w:val="false"/>
          <w:bCs w:val="false"/>
          <w:i w:val="false"/>
          <w:iCs w:val="false"/>
          <w:color w:val="1E293B"/>
          <w:sz w:val="22"/>
          <w:szCs w:val="22"/>
        </w:rPr>
        <w:t xml:space="preserve">客户至上</w:t>
      </w:r>
    </w:p>
    <w:p>
      <w:pPr>
        <w:spacing w:after="80"/>
      </w:pPr>
      <w:r>
        <w:rPr>
          <w:rFonts w:ascii="Microsoft YaHei" w:cs="Microsoft YaHei" w:eastAsia="Microsoft YaHei" w:hAnsi="Microsoft YaHei"/>
          <w:b/>
          <w:bCs/>
          <w:i w:val="false"/>
          <w:iCs w:val="false"/>
          <w:color w:val="1E293B"/>
          <w:sz w:val="22"/>
          <w:szCs w:val="22"/>
        </w:rPr>
        <w:t xml:space="preserve">批次/发布日期：</w:t>
      </w:r>
      <w:r>
        <w:rPr>
          <w:rFonts w:ascii="Microsoft YaHei" w:cs="Microsoft YaHei" w:eastAsia="Microsoft YaHei" w:hAnsi="Microsoft YaHei"/>
          <w:b w:val="false"/>
          <w:bCs w:val="false"/>
          <w:i w:val="false"/>
          <w:iCs w:val="false"/>
          <w:color w:val="1E293B"/>
          <w:sz w:val="22"/>
          <w:szCs w:val="22"/>
        </w:rPr>
        <w:t xml:space="preserve">第16批 · 2026年06月</w:t>
      </w: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3大核心案例</w:t>
      </w:r>
    </w:p>
    <w:p>
      <w:pPr>
        <w:pStyle w:val="Heading3"/>
        <w:spacing w:after="100"/>
      </w:pPr>
      <w:r>
        <w:rPr>
          <w:rFonts w:ascii="Microsoft YaHei" w:cs="Microsoft YaHei" w:eastAsia="Microsoft YaHei" w:hAnsi="Microsoft YaHei"/>
          <w:b/>
          <w:bCs/>
          <w:i w:val="false"/>
          <w:iCs w:val="false"/>
          <w:color w:val="1E293B"/>
          <w:sz w:val="26"/>
          <w:szCs w:val="26"/>
        </w:rPr>
        <w:t xml:space="preserve">① ① 生成式AI个性化宠物营养方案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痛点：400余款SKU横跨不同宠物品种、年龄段和健康状况，传统批量化生产无法兼顾"一宠一策"的个性化营养需求，研发试错成本高、周期长，难以快速响应市场对精准营养的爆发式需求。</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方案：基于生成式AI大模型，构建宠物营养知识图谱与配方推荐引擎，将犬猫品种、年龄、体型、健康状况等多维数据输入模型，自动生成定制化营养配方和生产工艺参数，打通从需求到制造的数字线程。</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知识图谱构建：将犬猫营养学、兽医临床数据、全球原料数据库结构化录入知识图谱，覆盖20+犬猫品种、15种健康维度的营养需求模型。 Step 2 — GenAI配方生成：接入生成式AI大模型，根据宠主提交的宠物信息（品种/年龄/体型/过敏史等）自动推荐最优营养配方，实现"一宠一配方"的C2M定制模式。 Step 3 — 工艺参数联动：配方数据直接驱动MES排产系统，自动匹配烘干温度、研磨细度、膨化压力等关键工艺参数，减少人工配方转换误差。 Step 4 — 持续学习迭代：通过Mars Pulse售后数据回流，将宠物健康改善效果反馈至AI模型，持续优化配方推荐精度。</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05.01.01 | 06.01.02 | 05.01.03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将宠物体检数据、品种特征、生命周期阶段输入生成式AI大模型，自动输出营养配方和工艺参数。相比传统依赖营养师人工配方的模式，配方生成效率大幅提升，同时适配超400款差异化SKU的弹性生产需求。</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宠主通过数字触点提交宠物信息，工厂端GenAI引擎即时解析需求并生成专属配方，数据直接驱动MES排产，实现从消费者需求到产线制造的无缝闭环，将个性化宠粮的交付周期压缩至行业领先水平。</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整合全球犬猫营养学研究成果、兽医临床数据和原料特性数据，构建可计算、可推理的宠物营养知识图谱。支持配方合理性自动校验、营养均衡度评分、过敏源预警等AI辅助决策功能。</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核心成效：客户满意度（NPS）提升20%，行业排名第一；400+SKU个性化柔性生产全面覆盖，产品研发周期显著缩短。</w:t>
      </w:r>
    </w:p>
    <w:p>
      <w:pPr>
        <w:pStyle w:val="Heading3"/>
        <w:spacing w:after="100"/>
      </w:pPr>
      <w:r>
        <w:rPr>
          <w:rFonts w:ascii="Microsoft YaHei" w:cs="Microsoft YaHei" w:eastAsia="Microsoft YaHei" w:hAnsi="Microsoft YaHei"/>
          <w:b/>
          <w:bCs/>
          <w:i w:val="false"/>
          <w:iCs w:val="false"/>
          <w:color w:val="1E293B"/>
          <w:sz w:val="26"/>
          <w:szCs w:val="26"/>
        </w:rPr>
        <w:t xml:space="preserve">② ② 全流程智能品控系统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痛点：宠粮品质直接影响宠物健康，传统品控依赖人工抽检和经验判断，检出效率低、覆盖不全面。前端原料质量波动和后端产线微小偏差都有可能造成批次性缺陷，一旦流入市场将引发食品安全信任危机。</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方案：在原料入厂、生产过程、成品出厂三大环节部署AI视觉检测、IoT传感监控和预测性品质分析，构建全流程数字品控闭环。配套Mars Pulse售后追溯系统，实现质量问题1小时精准定位。</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原料严进：坚持原料供应商现场审核、到厂批批检测，不合格当场拒收。部署近红外光谱（NIR）等快速检测设备，实现原料营养成分、霉菌毒素、新鲜度等多维指标的即时筛查。 Step 2 — 产线智检：在烘干、膨化、喷涂、包装等关键工位部署AI视觉检测系统（机器视觉+深度学习算法），实时捕捉颗粒外观缺陷（色差、裂纹、异物），自动触发告警和分拣剔除。 Step 3 — 数据闭环：IoT传感器实时采集烘干温度、水分含量、膨化压力等工艺参数，接入MES大数据分析平台，建立"工艺偏差-品质缺陷"关联模型，实现预测性品质预警。 Step 4 — 售后追溯：Mars Pulse智能中枢支持1小时内完成从成品批次到原料产地、产线工位的全链路追溯，在售后环节高效精准应答宠主质量咨询。 Step 5 — 持续优化：将品质数据反馈至GenAI配方模型，形成"配方优化→工艺调参→品控校验→售后验证"的持续改进闭环。</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01.03.02 | 05.02.01 | 05.02.03</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在产线高速运转条件下（每分钟数百颗），基于深度学习视觉模型的检测系统可精准识别宠粮颗粒的色差、裂纹、异物、尺寸偏差等缺陷，自动触发分拣与告警，替代传统人工抽检，实现100%在线全检。</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汇聚烘干温度、水分活度、膨化压力等数百个工艺参数实时数据流，建立多维统计分析模型，识别"工艺漂移→品质劣化"的早期信号，实现从"死后验尸"到"事前预警"的品质管控模式升级。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Mars Pulse售后智能中枢整合10余个数据源，覆盖从原料产地到终端门店的全链路数据。当发生品质问题时，可在1小时内完成精确追溯——定位至具体批次、产线工位和原料供应商。</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核心成效：线上产品缺陷率下降70%；投产16年零食品安全事故、零微生物超标；连续820周蝉联玛氏集团"铂金工厂"最高评级；亚太区实验室年检测超3万次、1000+检测细项。</w:t>
      </w:r>
    </w:p>
    <w:p>
      <w:pPr>
        <w:pStyle w:val="Heading3"/>
        <w:spacing w:after="100"/>
      </w:pPr>
      <w:r>
        <w:rPr>
          <w:rFonts w:ascii="Microsoft YaHei" w:cs="Microsoft YaHei" w:eastAsia="Microsoft YaHei" w:hAnsi="Microsoft YaHei"/>
          <w:b/>
          <w:bCs/>
          <w:i w:val="false"/>
          <w:iCs w:val="false"/>
          <w:color w:val="1E293B"/>
          <w:sz w:val="26"/>
          <w:szCs w:val="26"/>
        </w:rPr>
        <w:t xml:space="preserve">③ ③ AI驱动农业采购优化 核心用例</w:t>
      </w:r>
    </w:p>
    <w:p>
      <w:pPr>
        <w:spacing w:after="80"/>
      </w:pPr>
      <w:r>
        <w:rPr>
          <w:rFonts w:ascii="Microsoft YaHei" w:cs="Microsoft YaHei" w:eastAsia="Microsoft YaHei" w:hAnsi="Microsoft YaHei"/>
          <w:b/>
          <w:bCs/>
          <w:i w:val="false"/>
          <w:iCs w:val="false"/>
          <w:color w:val="DC2626"/>
          <w:sz w:val="22"/>
          <w:szCs w:val="22"/>
        </w:rPr>
        <w:t xml:space="preserve">业务痛点：</w:t>
      </w:r>
      <w:r>
        <w:rPr>
          <w:rFonts w:ascii="Microsoft YaHei" w:cs="Microsoft YaHei" w:eastAsia="Microsoft YaHei" w:hAnsi="Microsoft YaHei"/>
          <w:b w:val="false"/>
          <w:bCs w:val="false"/>
          <w:i w:val="false"/>
          <w:iCs w:val="false"/>
          <w:color w:val="DC2626"/>
          <w:sz w:val="21"/>
          <w:szCs w:val="21"/>
        </w:rPr>
        <w:t xml:space="preserve">⚠️ 痛点：小麦作为宠粮核心原料，其生长过程中受气候影响极易产生对宠物具有潜在致命风险的霉菌毒素。传统采购模式依赖到厂检验，品质风险发现严重滞后（收割后才送检），优质原料供需匹配效率低下。</w:t>
      </w:r>
    </w:p>
    <w:p>
      <w:pPr>
        <w:spacing w:after="80"/>
      </w:pPr>
      <w:r>
        <w:rPr>
          <w:rFonts w:ascii="Microsoft YaHei" w:cs="Microsoft YaHei" w:eastAsia="Microsoft YaHei" w:hAnsi="Microsoft YaHei"/>
          <w:b/>
          <w:bCs/>
          <w:i w:val="false"/>
          <w:iCs w:val="false"/>
          <w:color w:val="1A56DB"/>
          <w:sz w:val="22"/>
          <w:szCs w:val="22"/>
        </w:rPr>
        <w:t xml:space="preserve">解决思路：</w:t>
      </w:r>
      <w:r>
        <w:rPr>
          <w:rFonts w:ascii="Microsoft YaHei" w:cs="Microsoft YaHei" w:eastAsia="Microsoft YaHei" w:hAnsi="Microsoft YaHei"/>
          <w:b w:val="false"/>
          <w:bCs w:val="false"/>
          <w:i w:val="false"/>
          <w:iCs w:val="false"/>
          <w:color w:val="1A56DB"/>
          <w:sz w:val="21"/>
          <w:szCs w:val="21"/>
        </w:rPr>
        <w:t xml:space="preserve">💡 方案：与国家粮食和物资储备局科学研究院合作，依托气象卫星和物联网传感器采集千万条麦田数据，构建AI霉菌毒素风险预测模型，在小麦收割前约一个月即可预估风险，实现"收割前优选麦田→定向采购→AI精准烘干"的主动型采购闭环。</w:t>
      </w:r>
    </w:p>
    <w:p>
      <w:pPr>
        <w:spacing w:after="80"/>
      </w:pPr>
      <w:r>
        <w:rPr>
          <w:rFonts w:ascii="Microsoft YaHei" w:cs="Microsoft YaHei" w:eastAsia="Microsoft YaHei" w:hAnsi="Microsoft YaHei"/>
          <w:b/>
          <w:bCs/>
          <w:i w:val="false"/>
          <w:iCs w:val="false"/>
          <w:color w:val="1E293B"/>
          <w:sz w:val="22"/>
          <w:szCs w:val="22"/>
        </w:rPr>
        <w:t xml:space="preserve">实施路径：</w:t>
      </w:r>
      <w:r>
        <w:rPr>
          <w:rFonts w:ascii="Microsoft YaHei" w:cs="Microsoft YaHei" w:eastAsia="Microsoft YaHei" w:hAnsi="Microsoft YaHei"/>
          <w:b w:val="false"/>
          <w:bCs w:val="false"/>
          <w:i w:val="false"/>
          <w:iCs w:val="false"/>
          <w:color w:val="1E293B"/>
          <w:sz w:val="21"/>
          <w:szCs w:val="21"/>
        </w:rPr>
        <w:t xml:space="preserve">Step 1 — 数据采集：利用气象卫星遥感数据、麦田IoT传感网络（土壤温湿度、降水、日照等）、历史霉菌毒素检测数据，构建覆盖核心小麦产区的多维数据底座。 Step 2 — AI风险预测：训练机器学习模型学习"气候条件→霉菌生长→毒素积累"的因果关系链，在小麦收割前约一个月输出产区级风险热力图，指导采购团队提前筛选低风险优质麦田。 Step 3 — 定向采购执行：根据风险预测结果锁定优质原料产区，实施定向采购和产地直发，从源头拦截高风险批次，优先进仓低风险优质小麦。 Step 4 — AI精准烘干：在原料入厂后的烘干环节引入AI过程控制，基于水分含量、品种特性、环境温湿度等变量实时调节烘干温度与时长，替代传统人工经验调节，降低能耗并提升颗粒适口性与质量稳定性。</w:t>
      </w:r>
    </w:p>
    <w:p>
      <w:pPr>
        <w:spacing w:after="60"/>
      </w:pPr>
      <w:r>
        <w:rPr>
          <w:rFonts w:ascii="Microsoft YaHei" w:cs="Microsoft YaHei" w:eastAsia="Microsoft YaHei" w:hAnsi="Microsoft YaHei"/>
          <w:b/>
          <w:bCs/>
          <w:i w:val="false"/>
          <w:iCs w:val="false"/>
          <w:color w:val="1E293B"/>
          <w:sz w:val="22"/>
          <w:szCs w:val="22"/>
        </w:rPr>
        <w:t xml:space="preserve">技术标签：</w:t>
      </w:r>
      <w:r>
        <w:rPr>
          <w:rFonts w:ascii="Microsoft YaHei" w:cs="Microsoft YaHei" w:eastAsia="Microsoft YaHei" w:hAnsi="Microsoft YaHei"/>
          <w:b w:val="false"/>
          <w:bCs w:val="false"/>
          <w:i w:val="false"/>
          <w:iCs w:val="false"/>
          <w:color w:val="0369A1"/>
          <w:sz w:val="21"/>
          <w:szCs w:val="21"/>
        </w:rPr>
        <w:t xml:space="preserve">05.01.02 | 04.02.03 | 03.03.04</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基于千万条气象卫星数据和麦田IoT传感数据，训练机器学习模型刻画"气候-霉菌-毒素"因果链条。将品质管控窗口从传统的"收割后检测"前移一个月至"收割前预测"，实现从被动应对到主动干预的管理范式升级。</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气象卫星遥感与地面IoT传感融合，构建大范围产区的实时监测能力。AI模型将遥感光谱数据转化为霉菌毒素风险指数，实现原料品质的"未收先知"，大幅降低高风险原料流入产线的概率。</w:t>
      </w:r>
    </w:p>
    <w:p>
      <w:pPr>
        <w:spacing w:after="40"/>
        <w:ind w:left="200"/>
      </w:pPr>
      <w:r>
        <w:rPr>
          <w:rFonts w:ascii="Microsoft YaHei" w:cs="Microsoft YaHei" w:eastAsia="Microsoft YaHei" w:hAnsi="Microsoft YaHei"/>
          <w:b w:val="false"/>
          <w:bCs w:val="false"/>
          <w:i w:val="false"/>
          <w:iCs w:val="false"/>
          <w:color w:val="475569"/>
          <w:sz w:val="20"/>
          <w:szCs w:val="20"/>
        </w:rPr>
        <w:t xml:space="preserve">烘干是决定宠粮适口性的关键工序。AI控制器根据来料水分、品种特性和环境条件实时调节风速、温度和时间参数，替代传统人工经验操作模式，在降低能耗的同时提升颗粒质量一致性和宠物适口性。</w:t>
      </w:r>
    </w:p>
    <w:p>
      <w:pPr>
        <w:spacing w:after="60"/>
      </w:pPr>
      <w:r>
        <w:rPr>
          <w:rFonts w:ascii="Microsoft YaHei" w:cs="Microsoft YaHei" w:eastAsia="Microsoft YaHei" w:hAnsi="Microsoft YaHei"/>
          <w:b w:val="false"/>
          <w:bCs w:val="false"/>
          <w:i w:val="false"/>
          <w:iCs w:val="false"/>
          <w:color w:val="1E293B"/>
          <w:sz w:val="21"/>
          <w:szCs w:val="21"/>
        </w:rPr>
        <w:t xml:space="preserve">关键数据：📊 核心成效：收割前一个月即可预估霉菌毒素风险，品质管控从被动升级为主动；AI烘干降低能耗、提升适口性；原料端四项"行业第一"品质管理标准（供应商审核/批批检测/上游供应链检测/环保标准检测）。</w:t>
      </w:r>
    </w:p>
    <w:p>
      <w:pPr>
        <w:pStyle w:val="Heading2"/>
        <w:spacing w:after="100"/>
      </w:pPr>
      <w:r>
        <w:rPr>
          <w:rFonts w:ascii="Microsoft YaHei" w:cs="Microsoft YaHei" w:eastAsia="Microsoft YaHei" w:hAnsi="Microsoft YaHei"/>
          <w:b/>
          <w:bCs/>
          <w:i w:val="false"/>
          <w:iCs w:val="false"/>
          <w:color w:val="1A56DB"/>
          <w:sz w:val="30"/>
          <w:szCs w:val="30"/>
        </w:rPr>
        <w:t xml:space="preserve">绩效改善总览</w:t>
      </w:r>
    </w:p>
    <w:tbl>
      <w:tblPr>
        <w:tblW w:type="dxa" w:w="9026"/>
        <w:tblBorders>
          <w:top w:val="single" w:color="auto" w:sz="4"/>
          <w:left w:val="single" w:color="auto" w:sz="4"/>
          <w:bottom w:val="single" w:color="auto" w:sz="4"/>
          <w:right w:val="single" w:color="auto" w:sz="4"/>
          <w:insideH w:val="single" w:color="auto" w:sz="4"/>
          <w:insideV w:val="single" w:color="auto" w:sz="4"/>
        </w:tblBorders>
      </w:tblPr>
      <w:tblGrid>
        <w:gridCol w:w="3000"/>
        <w:gridCol w:w="2000"/>
        <w:gridCol w:w="4026"/>
      </w:tblGrid>
      <w:tr>
        <w:tc>
          <w:tcPr>
            <w:tcW w:type="dxa" w:w="3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指标</w:t>
            </w:r>
          </w:p>
        </w:tc>
        <w:tc>
          <w:tcPr>
            <w:tcW w:type="dxa" w:w="2000"/>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pPr>
              <w:jc w:val="center"/>
            </w:pPr>
            <w:r>
              <w:rPr>
                <w:rFonts w:ascii="Arial" w:cs="Arial" w:eastAsia="Arial" w:hAnsi="Arial"/>
                <w:b/>
                <w:bCs/>
                <w:color w:val="FFFFFF"/>
                <w:sz w:val="21"/>
                <w:szCs w:val="21"/>
              </w:rPr>
              <w:t xml:space="preserve">改善</w:t>
            </w:r>
          </w:p>
        </w:tc>
        <w:tc>
          <w:tcPr>
            <w:tcW w:type="dxa" w:w="4026"/>
            <w:tcBorders>
              <w:top w:val="single" w:color="CCCCCC" w:sz="1"/>
              <w:left w:val="single" w:color="CCCCCC" w:sz="1"/>
              <w:bottom w:val="single" w:color="CCCCCC" w:sz="1"/>
              <w:right w:val="single" w:color="CCCCCC" w:sz="1"/>
            </w:tcBorders>
            <w:shd w:fill="2E7D32" w:val="clear"/>
            <w:tcMar>
              <w:top w:type="dxa" w:w="60"/>
              <w:left w:type="dxa" w:w="120"/>
              <w:bottom w:type="dxa" w:w="60"/>
              <w:right w:type="dxa" w:w="120"/>
            </w:tcMar>
          </w:tcPr>
          <w:p>
            <w:r>
              <w:rPr>
                <w:rFonts w:ascii="Microsoft YaHei" w:cs="Microsoft YaHei" w:eastAsia="Microsoft YaHei" w:hAnsi="Microsoft YaHei"/>
                <w:b/>
                <w:bCs/>
                <w:color w:val="FFFFFF"/>
                <w:sz w:val="21"/>
                <w:szCs w:val="21"/>
              </w:rPr>
              <w:t xml:space="preserve">技术手段</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客户满意度</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↑20%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GenAI个性化营养方案精准匹配宠物需求，C2M定制模式驱动</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线上产品缺陷率</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↓70%</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AI视觉检测+IoT工艺监控+预测性品控，实现全流程100%</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敏捷服务水准</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维持98%+</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"慧眼"端到端数据控制塔整合10+数据源，覆盖全国5个配送中</w:t>
            </w:r>
          </w:p>
        </w:tc>
      </w:tr>
      <w:tr>
        <w:tc>
          <w:tcPr>
            <w:tcW w:type="dxa" w:w="3000"/>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1E293B"/>
                <w:sz w:val="21"/>
                <w:szCs w:val="21"/>
              </w:rPr>
              <w:t xml:space="preserve">食品安全</w:t>
            </w:r>
          </w:p>
        </w:tc>
        <w:tc>
          <w:tcPr>
            <w:tcW w:type="dxa" w:w="2000"/>
            <w:tcBorders>
              <w:top w:val="single" w:color="CCCCCC" w:sz="1"/>
              <w:left w:val="single" w:color="CCCCCC" w:sz="1"/>
              <w:bottom w:val="single" w:color="CCCCCC" w:sz="1"/>
              <w:right w:val="single" w:color="CCCCCC" w:sz="1"/>
            </w:tcBorders>
            <w:tcMar>
              <w:top w:type="dxa" w:w="60"/>
              <w:left w:type="dxa" w:w="120"/>
              <w:bottom w:type="dxa" w:w="60"/>
              <w:right w:type="dxa" w:w="120"/>
            </w:tcMar>
          </w:tcPr>
          <w:p>
            <w:pPr>
              <w:jc w:val="center"/>
            </w:pPr>
            <w:r>
              <w:rPr>
                <w:rFonts w:ascii="Arial" w:cs="Arial" w:eastAsia="Arial" w:hAnsi="Arial"/>
                <w:b/>
                <w:bCs/>
                <w:color w:val="2E7D32"/>
                <w:sz w:val="24"/>
                <w:szCs w:val="24"/>
              </w:rPr>
              <w:t xml:space="preserve">16年零事故</w:t>
            </w:r>
          </w:p>
        </w:tc>
        <w:tc>
          <w:tcPr>
            <w:tcW w:type="dxa" w:w="4026"/>
            <w:tcBorders>
              <w:top w:val="single" w:color="CCCCCC" w:sz="1"/>
              <w:left w:val="single" w:color="CCCCCC" w:sz="1"/>
              <w:bottom w:val="single" w:color="CCCCCC" w:sz="1"/>
              <w:right w:val="single" w:color="CCCCCC" w:sz="1"/>
            </w:tcBorders>
            <w:tcMar>
              <w:top w:type="dxa" w:w="60"/>
              <w:left w:type="dxa" w:w="120"/>
              <w:bottom w:type="dxa" w:w="60"/>
              <w:right w:type="dxa" w:w="120"/>
            </w:tcMar>
          </w:tcPr>
          <w:p>
            <w:r>
              <w:rPr>
                <w:rFonts w:ascii="Microsoft YaHei" w:cs="Microsoft YaHei" w:eastAsia="Microsoft YaHei" w:hAnsi="Microsoft YaHei"/>
                <w:b w:val="false"/>
                <w:bCs w:val="false"/>
                <w:color w:val="64748B"/>
                <w:sz w:val="20"/>
                <w:szCs w:val="20"/>
              </w:rPr>
              <w:t xml:space="preserve">820周铂金工厂评级、零微生物超标，亚太区实验室年检3万+次</w:t>
            </w:r>
          </w:p>
        </w:tc>
      </w:tr>
    </w:tbl>
    <w:p>
      <w:pPr>
        <w:spacing w:after="100"/>
      </w:pPr>
    </w:p>
    <w:p>
      <w:pPr>
        <w:spacing w:after="100"/>
      </w:pPr>
    </w:p>
    <w:p>
      <w:pPr>
        <w:pStyle w:val="Heading2"/>
        <w:spacing w:after="100"/>
      </w:pPr>
      <w:r>
        <w:rPr>
          <w:rFonts w:ascii="Microsoft YaHei" w:cs="Microsoft YaHei" w:eastAsia="Microsoft YaHei" w:hAnsi="Microsoft YaHei"/>
          <w:b/>
          <w:bCs/>
          <w:i w:val="false"/>
          <w:iCs w:val="false"/>
          <w:color w:val="1A56DB"/>
          <w:sz w:val="30"/>
          <w:szCs w:val="30"/>
        </w:rPr>
        <w:t xml:space="preserve">可复制性分析</w:t>
      </w:r>
    </w:p>
    <w:p>
      <w:pPr>
        <w:spacing w:after="80"/>
      </w:pPr>
      <w:r>
        <w:rPr>
          <w:rFonts w:ascii="Microsoft YaHei" w:cs="Microsoft YaHei" w:eastAsia="Microsoft YaHei" w:hAnsi="Microsoft YaHei"/>
          <w:b w:val="false"/>
          <w:bCs w:val="false"/>
          <w:i w:val="false"/>
          <w:iCs w:val="false"/>
          <w:color w:val="1E293B"/>
          <w:sz w:val="21"/>
          <w:szCs w:val="21"/>
        </w:rPr>
        <w:t xml:space="preserve">🏢 企业规模 中型及以上食品制造企业（年产值10亿+），400+SKU、多品种弹性生产场景 💰 投入规模 数字化投入预估数千万元级，含40+工业4.0解决方案、AI平台、IoT基础设施 ⏱️ 实施周期 分阶段推进2-3年：先做品质数字化底座（1年）→AI应用上线（1年）→全链路贯通（6-12月） 🎯 关键技术门槛 GenAI大模型应用、AI视觉检测、IoT工艺控制、卫星遥感数据分析——需跨学科团队支撑 👉 适合什么企业参考 ①具备多SKU弹性生产需求的食品饮料/快消品企业；②对品控要求极高的宠物食品、婴幼儿食品、保健品行业；③有C2M定制化转型意愿的消费品品牌商。核心启示：品质数字化底座是AI应用的前提，端到端而非单点改造才能释放最大价值。</w:t>
      </w:r>
    </w:p>
    <w:p>
      <w:pPr>
        <w:pStyle w:val="Heading2"/>
        <w:spacing w:after="100"/>
      </w:pPr>
      <w:r>
        <w:rPr>
          <w:rFonts w:ascii="Microsoft YaHei" w:cs="Microsoft YaHei" w:eastAsia="Microsoft YaHei" w:hAnsi="Microsoft YaHei"/>
          <w:b/>
          <w:bCs/>
          <w:i w:val="false"/>
          <w:iCs w:val="false"/>
          <w:color w:val="1A56DB"/>
          <w:sz w:val="30"/>
          <w:szCs w:val="30"/>
        </w:rPr>
        <w:t xml:space="preserve">技术全景图</w:t>
      </w:r>
    </w:p>
    <w:p>
      <w:pPr>
        <w:spacing w:after="80"/>
      </w:pPr>
      <w:r>
        <w:rPr>
          <w:rFonts w:ascii="Microsoft YaHei" w:cs="Microsoft YaHei" w:eastAsia="Microsoft YaHei" w:hAnsi="Microsoft YaHei"/>
          <w:b w:val="false"/>
          <w:bCs w:val="false"/>
          <w:i w:val="false"/>
          <w:iCs w:val="false"/>
          <w:color w:val="1E293B"/>
          <w:sz w:val="21"/>
          <w:szCs w:val="21"/>
        </w:rPr>
        <w:t xml:space="preserve">🗺️ 技术全景图 01 智能装备 ✔️ 02 工业软件 ✔️ 03 智能工厂 ✔️ 04 智慧供应链 ✔️ 05 智能赋能技术 ✔️ 06 智能制造新模式 ✔️ 07 工业网络 ✔️ 08 系统安全 ✔️ 09 绿色可持续 ✔️ 已覆盖（9/9） 未涉及 WEF重点技术覆盖率：46%</w:t>
      </w:r>
    </w:p>
    <w:p>
      <w:pPr>
        <w:pStyle w:val="Heading2"/>
        <w:spacing w:after="100"/>
      </w:pPr>
      <w:r>
        <w:rPr>
          <w:rFonts w:ascii="Microsoft YaHei" w:cs="Microsoft YaHei" w:eastAsia="Microsoft YaHei" w:hAnsi="Microsoft YaHei"/>
          <w:b/>
          <w:bCs/>
          <w:i w:val="false"/>
          <w:iCs w:val="false"/>
          <w:color w:val="1A56DB"/>
          <w:sz w:val="30"/>
          <w:szCs w:val="30"/>
        </w:rPr>
        <w:t xml:space="preserve">行业对标</w:t>
      </w:r>
    </w:p>
    <w:p>
      <w:pPr>
        <w:spacing w:after="80"/>
      </w:pPr>
      <w:r>
        <w:rPr>
          <w:rFonts w:ascii="Microsoft YaHei" w:cs="Microsoft YaHei" w:eastAsia="Microsoft YaHei" w:hAnsi="Microsoft YaHei"/>
          <w:b w:val="false"/>
          <w:bCs w:val="false"/>
          <w:i w:val="false"/>
          <w:iCs w:val="false"/>
          <w:color w:val="1E293B"/>
          <w:sz w:val="21"/>
          <w:szCs w:val="21"/>
        </w:rPr>
        <w:t xml:space="preserve">🏭 行业对标视角 国标分类路径：制造业 → 农副食品加工业（13）→ 宠物饲料加工（1329） 📌 宠物食品制造行业首个灯塔工厂。同批次5家消费品行业工厂入选（联合利华×2、RRS青岛物流园等），皇家是其中唯一聚焦宠物营养赛道的企业，填补了宠物行业灯塔工厂空白。与通用快消品不同，宠物食品兼具"人食品级"品控要求和兽医营养学的专业门槛，AI在品质与个性化两个维度上同时发力是其核心差异化优势。 🏭 联合利华哈里瓦工厂 第16批 · 印度 · 供应链韧性 🏭 联合利华索内帕特工厂 第16批 · 印度 · 可持续发展 🏭 RRS青岛智慧物流园 第16批 · 中国 · 供应链韧性 🏭 施耐德电气埃尔帕索 第16批 · 美国 · 客户至上 💡 品质基因决定AI上限：皇家上海工厂的转型启示在于——16年零食品安全事故的品质底蕴，才是AI能够撬动"个性化+品控"双突破的前提。没有严格的质量管理体系打底，AI只是锦上添花的工具；有品质基因作为底座，AI才能真正实现"又快又好"的规模化个性化制造。这对所有食品行业企业都是一个关键信号：先练好品质内功，再谈数字化跃升。</w:t>
      </w:r>
    </w:p>
    <w:p>
      <w:pPr>
        <w:pStyle w:val="Heading2"/>
        <w:spacing w:after="100"/>
      </w:pPr>
      <w:r>
        <w:rPr>
          <w:rFonts w:ascii="Microsoft YaHei" w:cs="Microsoft YaHei" w:eastAsia="Microsoft YaHei" w:hAnsi="Microsoft YaHei"/>
          <w:b/>
          <w:bCs/>
          <w:i w:val="false"/>
          <w:iCs w:val="false"/>
          <w:color w:val="1A56DB"/>
          <w:sz w:val="30"/>
          <w:szCs w:val="30"/>
        </w:rPr>
        <w:t xml:space="preserve">互动</w:t>
      </w:r>
    </w:p>
    <w:p>
      <w:pPr>
        <w:spacing w:after="80"/>
      </w:pPr>
      <w:r>
        <w:rPr>
          <w:rFonts w:ascii="Microsoft YaHei" w:cs="Microsoft YaHei" w:eastAsia="Microsoft YaHei" w:hAnsi="Microsoft YaHei"/>
          <w:b w:val="false"/>
          <w:bCs w:val="false"/>
          <w:i w:val="false"/>
          <w:iCs w:val="false"/>
          <w:color w:val="1E293B"/>
          <w:sz w:val="21"/>
          <w:szCs w:val="21"/>
        </w:rPr>
        <w:t xml:space="preserve">💬 互动 宠物食品的"个性化定制"时代已经到来——你的工厂准备好了吗？ 👇 欢迎在评论区分享你的经验与困惑 📊 灯塔名录 回复【名录】获取完整名单 🔍 灯塔案例 回复【分析+企业名】 🦞 灯塔虾评 回复【自测】评估差距</w:t>
      </w:r>
    </w:p>
    <w:p>
      <w:pPr>
        <w:spacing w:after="80"/>
      </w:pPr>
      <w:r>
        <w:rPr>
          <w:rFonts w:ascii="Microsoft YaHei" w:cs="Microsoft YaHei" w:eastAsia="Microsoft YaHei" w:hAnsi="Microsoft YaHei"/>
          <w:b w:val="false"/>
          <w:bCs w:val="false"/>
          <w:i w:val="false"/>
          <w:iCs w:val="false"/>
          <w:color w:val="64748B"/>
          <w:sz w:val="21"/>
          <w:szCs w:val="21"/>
        </w:rPr>
        <w:t xml:space="preserve">📥 下载此案例（多种格式） 🌐 网页 📽️ 幻灯片 📊 PPTX 📄 DOCX 🗂️ JSON 📝 MD 📋 CSV</w:t>
      </w:r>
    </w:p>
    <w:p>
      <w:pPr>
        <w:spacing w:after="60" w:before="100"/>
        <w:jc w:val="center"/>
      </w:pPr>
      <w:r>
        <w:rPr>
          <w:rFonts w:ascii="Microsoft YaHei" w:cs="Microsoft YaHei" w:eastAsia="Microsoft YaHei" w:hAnsi="Microsoft YaHei"/>
          <w:b w:val="false"/>
          <w:bCs w:val="false"/>
          <w:i w:val="false"/>
          <w:iCs w:val="false"/>
          <w:color w:val="94A3B8"/>
          <w:sz w:val="18"/>
          <w:szCs w:val="18"/>
        </w:rPr>
        <w:t xml:space="preserve">❤️ 点「在看」，让更多同行看到 数据来源：世界经济论坛 Global Lighthouse Network 官方发布、皇家宠物食品中国官方新闻稿、中国日报报道 老陈说灯塔 · 每周一个灯塔工厂深度拆解</w:t>
      </w:r>
    </w:p>
    <w:p>
      <w:pPr>
        <w:spacing w:after="100"/>
      </w:pPr>
    </w:p>
    <w:p>
      <w:pPr>
        <w:spacing w:after="60" w:before="200"/>
        <w:jc w:val="center"/>
      </w:pPr>
      <w:r>
        <w:rPr>
          <w:rFonts w:ascii="Microsoft YaHei" w:cs="Microsoft YaHei" w:eastAsia="Microsoft YaHei" w:hAnsi="Microsoft YaHei"/>
          <w:b w:val="false"/>
          <w:bCs w:val="false"/>
          <w:i w:val="false"/>
          <w:iCs w:val="false"/>
          <w:color w:val="94A3B8"/>
          <w:sz w:val="18"/>
          <w:szCs w:val="18"/>
        </w:rPr>
        <w:t xml:space="preserve">数据来源：世界经济论坛（WEF）全球灯塔网络 · 公开报道</w:t>
      </w:r>
    </w:p>
    <w:p>
      <w:pPr>
        <w:spacing w:after="100"/>
        <w:jc w:val="center"/>
      </w:pPr>
      <w:r>
        <w:rPr>
          <w:rFonts w:ascii="Microsoft YaHei" w:cs="Microsoft YaHei" w:eastAsia="Microsoft YaHei" w:hAnsi="Microsoft YaHei"/>
          <w:b w:val="false"/>
          <w:bCs w:val="false"/>
          <w:i w:val="false"/>
          <w:iCs w:val="false"/>
          <w:color w:val="94A3B8"/>
          <w:sz w:val="18"/>
          <w:szCs w:val="18"/>
        </w:rPr>
        <w:t xml:space="preserve">老陈说灯塔 · 每周一个灯塔工厂深度拆解</w:t>
      </w:r>
    </w:p>
    <w:sectPr>
      <w:pgSz w:w="11906" w:h="16838" w:orient="portrait"/>
      <w:pgMar w:top="1134"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Microsoft YaHei" w:cs="Microsoft YaHei" w:eastAsia="Microsoft YaHei" w:hAnsi="Microsoft YaHei"/>
        <w:sz w:val="22"/>
        <w:szCs w:val="22"/>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 w:type="paragraph" w:styleId="Normal">
    <w:name w:val="Normal"/>
    <w:rPr>
      <w:rFonts w:ascii="Microsoft YaHei" w:cs="Microsoft YaHei" w:eastAsia="Microsoft YaHei" w:hAnsi="Microsoft YaHei"/>
      <w:sz w:val="22"/>
      <w:szCs w:val="22"/>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2026-07-02T03:30:30.655Z</dcterms:created>
  <dcterms:modified xsi:type="dcterms:W3CDTF">2026-07-02T03:30:30.668Z</dcterms:modified>
</cp:coreProperties>
</file>

<file path=docProps/custom.xml><?xml version="1.0" encoding="utf-8"?>
<Properties xmlns="http://schemas.openxmlformats.org/officeDocument/2006/custom-properties" xmlns:vt="http://schemas.openxmlformats.org/officeDocument/2006/docPropsVTypes"/>
</file>