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rPr>
          <w:rFonts w:ascii="Microsoft YaHei" w:cs="Microsoft YaHei" w:eastAsia="Microsoft YaHei" w:hAnsi="Microsoft YaHei"/>
          <w:b/>
          <w:bCs/>
          <w:i w:val="false"/>
          <w:iCs w:val="false"/>
          <w:color w:val="1E293B"/>
          <w:sz w:val="44"/>
          <w:szCs w:val="44"/>
        </w:rPr>
        <w:t xml:space="preserve">灯塔案例｜青岛中集冷藏箱</w:t>
      </w:r>
    </w:p>
    <w:p>
      <w:pPr>
        <w:spacing w:after="100"/>
      </w:pPr>
    </w:p>
    <w:p>
      <w:pPr>
        <w:spacing w:after="60"/>
        <w:ind w:left="567"/>
      </w:pPr>
      <w:r>
        <w:rPr>
          <w:rFonts w:ascii="Microsoft YaHei" w:cs="Microsoft YaHei" w:eastAsia="Microsoft YaHei" w:hAnsi="Microsoft YaHei"/>
          <w:b/>
          <w:bCs/>
          <w:i/>
          <w:iCs/>
          <w:color w:val="1A56DB"/>
          <w:sz w:val="26"/>
          <w:szCs w:val="26"/>
        </w:rPr>
        <w:t xml:space="preserve">50余项AI与数字化应用落地，交付周期缩短32%、缺陷率腰斩47%、加工成本下降24%——全球集装箱行业首个灯塔工厂，在胶州湾畔用数据驱动重塑了冷藏箱制造的底层逻辑。</w:t>
      </w:r>
    </w:p>
    <w:p>
      <w:pPr>
        <w:spacing w:after="200"/>
        <w:ind w:left="567"/>
      </w:pPr>
      <w:r>
        <w:rPr>
          <w:rFonts w:ascii="Microsoft YaHei" w:cs="Microsoft YaHei" w:eastAsia="Microsoft YaHei" w:hAnsi="Microsoft YaHei"/>
          <w:b w:val="false"/>
          <w:bCs w:val="false"/>
          <w:i w:val="false"/>
          <w:iCs w:val="false"/>
          <w:color w:val="64748B"/>
          <w:sz w:val="20"/>
          <w:szCs w:val="20"/>
        </w:rPr>
        <w:t xml:space="preserve">—— 青岛中集冷藏箱 · 第16批 · 生产效率灯塔 · 2026年06月</w:t>
      </w:r>
    </w:p>
    <w:p>
      <w:pPr>
        <w:pStyle w:val="Heading2"/>
        <w:spacing w:after="100"/>
      </w:pPr>
      <w:r>
        <w:rPr>
          <w:rFonts w:ascii="Microsoft YaHei" w:cs="Microsoft YaHei" w:eastAsia="Microsoft YaHei" w:hAnsi="Microsoft YaHei"/>
          <w:b/>
          <w:bCs/>
          <w:i w:val="false"/>
          <w:iCs w:val="false"/>
          <w:color w:val="1A56DB"/>
          <w:sz w:val="30"/>
          <w:szCs w:val="30"/>
        </w:rPr>
        <w:t xml:space="preserve">企业名片</w:t>
      </w:r>
    </w:p>
    <w:p>
      <w:pPr>
        <w:spacing w:after="100"/>
      </w:pPr>
      <w:r>
        <w:rPr>
          <w:rFonts w:ascii="Microsoft YaHei" w:cs="Microsoft YaHei" w:eastAsia="Microsoft YaHei" w:hAnsi="Microsoft YaHei"/>
          <w:b/>
          <w:bCs/>
          <w:i w:val="false"/>
          <w:iCs w:val="false"/>
          <w:color w:val="2E7D32"/>
          <w:sz w:val="28"/>
          <w:szCs w:val="28"/>
        </w:rPr>
        <w:t xml:space="preserve">🔖 灯塔编码：25216CN06</w:t>
      </w:r>
    </w:p>
    <w:p>
      <w:pPr>
        <w:spacing w:after="80"/>
      </w:pPr>
      <w:r>
        <w:rPr>
          <w:rFonts w:ascii="Microsoft YaHei" w:cs="Microsoft YaHei" w:eastAsia="Microsoft YaHei" w:hAnsi="Microsoft YaHei"/>
          <w:b/>
          <w:bCs/>
          <w:i w:val="false"/>
          <w:iCs w:val="false"/>
          <w:color w:val="1E293B"/>
          <w:sz w:val="22"/>
          <w:szCs w:val="22"/>
        </w:rPr>
        <w:t xml:space="preserve">企业名称：</w:t>
      </w:r>
      <w:r>
        <w:rPr>
          <w:rFonts w:ascii="Microsoft YaHei" w:cs="Microsoft YaHei" w:eastAsia="Microsoft YaHei" w:hAnsi="Microsoft YaHei"/>
          <w:b w:val="false"/>
          <w:bCs w:val="false"/>
          <w:i w:val="false"/>
          <w:iCs w:val="false"/>
          <w:color w:val="1E293B"/>
          <w:sz w:val="22"/>
          <w:szCs w:val="22"/>
        </w:rPr>
        <w:t xml:space="preserve">青岛中集冷藏箱</w:t>
      </w:r>
    </w:p>
    <w:p>
      <w:pPr>
        <w:spacing w:after="80"/>
      </w:pPr>
      <w:r>
        <w:rPr>
          <w:rFonts w:ascii="Microsoft YaHei" w:cs="Microsoft YaHei" w:eastAsia="Microsoft YaHei" w:hAnsi="Microsoft YaHei"/>
          <w:b/>
          <w:bCs/>
          <w:i w:val="false"/>
          <w:iCs w:val="false"/>
          <w:color w:val="1E293B"/>
          <w:sz w:val="22"/>
          <w:szCs w:val="22"/>
        </w:rPr>
        <w:t xml:space="preserve">工厂所在地：</w:t>
      </w:r>
      <w:r>
        <w:rPr>
          <w:rFonts w:ascii="Microsoft YaHei" w:cs="Microsoft YaHei" w:eastAsia="Microsoft YaHei" w:hAnsi="Microsoft YaHei"/>
          <w:b w:val="false"/>
          <w:bCs w:val="false"/>
          <w:i w:val="false"/>
          <w:iCs w:val="false"/>
          <w:color w:val="1E293B"/>
          <w:sz w:val="22"/>
          <w:szCs w:val="22"/>
        </w:rPr>
        <w:t xml:space="preserve">中国 · 中国 · 胶州</w:t>
      </w:r>
    </w:p>
    <w:p>
      <w:pPr>
        <w:spacing w:after="80"/>
      </w:pPr>
      <w:r>
        <w:rPr>
          <w:rFonts w:ascii="Microsoft YaHei" w:cs="Microsoft YaHei" w:eastAsia="Microsoft YaHei" w:hAnsi="Microsoft YaHei"/>
          <w:b/>
          <w:bCs/>
          <w:i w:val="false"/>
          <w:iCs w:val="false"/>
          <w:color w:val="1E293B"/>
          <w:sz w:val="22"/>
          <w:szCs w:val="22"/>
        </w:rPr>
        <w:t xml:space="preserve">所属行业：</w:t>
      </w:r>
      <w:r>
        <w:rPr>
          <w:rFonts w:ascii="Microsoft YaHei" w:cs="Microsoft YaHei" w:eastAsia="Microsoft YaHei" w:hAnsi="Microsoft YaHei"/>
          <w:b w:val="false"/>
          <w:bCs w:val="false"/>
          <w:i w:val="false"/>
          <w:iCs w:val="false"/>
          <w:color w:val="1E293B"/>
          <w:sz w:val="22"/>
          <w:szCs w:val="22"/>
        </w:rPr>
        <w:t xml:space="preserve"> · 先进工业 (GBT )</w:t>
      </w:r>
    </w:p>
    <w:p>
      <w:pPr>
        <w:spacing w:after="80"/>
      </w:pPr>
      <w:r>
        <w:rPr>
          <w:rFonts w:ascii="Microsoft YaHei" w:cs="Microsoft YaHei" w:eastAsia="Microsoft YaHei" w:hAnsi="Microsoft YaHei"/>
          <w:b/>
          <w:bCs/>
          <w:i w:val="false"/>
          <w:iCs w:val="false"/>
          <w:color w:val="1E293B"/>
          <w:sz w:val="22"/>
          <w:szCs w:val="22"/>
        </w:rPr>
        <w:t xml:space="preserve">灯塔类型：</w:t>
      </w:r>
      <w:r>
        <w:rPr>
          <w:rFonts w:ascii="Microsoft YaHei" w:cs="Microsoft YaHei" w:eastAsia="Microsoft YaHei" w:hAnsi="Microsoft YaHei"/>
          <w:b w:val="false"/>
          <w:bCs w:val="false"/>
          <w:i w:val="false"/>
          <w:iCs w:val="false"/>
          <w:color w:val="1E293B"/>
          <w:sz w:val="22"/>
          <w:szCs w:val="22"/>
        </w:rPr>
        <w:t xml:space="preserve">生产效率</w:t>
      </w:r>
    </w:p>
    <w:p>
      <w:pPr>
        <w:spacing w:after="80"/>
      </w:pPr>
      <w:r>
        <w:rPr>
          <w:rFonts w:ascii="Microsoft YaHei" w:cs="Microsoft YaHei" w:eastAsia="Microsoft YaHei" w:hAnsi="Microsoft YaHei"/>
          <w:b/>
          <w:bCs/>
          <w:i w:val="false"/>
          <w:iCs w:val="false"/>
          <w:color w:val="1E293B"/>
          <w:sz w:val="22"/>
          <w:szCs w:val="22"/>
        </w:rPr>
        <w:t xml:space="preserve">批次/发布日期：</w:t>
      </w:r>
      <w:r>
        <w:rPr>
          <w:rFonts w:ascii="Microsoft YaHei" w:cs="Microsoft YaHei" w:eastAsia="Microsoft YaHei" w:hAnsi="Microsoft YaHei"/>
          <w:b w:val="false"/>
          <w:bCs w:val="false"/>
          <w:i w:val="false"/>
          <w:iCs w:val="false"/>
          <w:color w:val="1E293B"/>
          <w:sz w:val="22"/>
          <w:szCs w:val="22"/>
        </w:rPr>
        <w:t xml:space="preserve">第16批 · 2026年06月</w:t>
      </w: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3大核心案例</w:t>
      </w:r>
    </w:p>
    <w:p>
      <w:pPr>
        <w:pStyle w:val="Heading3"/>
        <w:spacing w:after="100"/>
      </w:pPr>
      <w:r>
        <w:rPr>
          <w:rFonts w:ascii="Microsoft YaHei" w:cs="Microsoft YaHei" w:eastAsia="Microsoft YaHei" w:hAnsi="Microsoft YaHei"/>
          <w:b/>
          <w:bCs/>
          <w:i w:val="false"/>
          <w:iCs w:val="false"/>
          <w:color w:val="1E293B"/>
          <w:sz w:val="26"/>
          <w:szCs w:val="26"/>
        </w:rPr>
        <w:t xml:space="preserve">① ① AI驱动的生产流程优化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痛点：全球贸易波动下，客户对冷藏箱的隔热性能与交货周期要求不断提升，传统依赖经验排产的模式无法快速响应多品种、变批量订单，产线瓶颈频现，资源利用率偏低。</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方案：基于工业互联网平台打通OT/IT数据壁垒，构建AI辅助的端到端生产调度引擎，将订单特征、设备状态、物料供给和工艺参数实时建模，实现从经验排产到数据驱动排产的范式转变。</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OT/IT数据采集与融合：在关键工位部署IoT传感网络，建立统一的工业数据总线，打通MES、ERP、WMS等系统数据孤岛，实现全生产要素的实时映射。 Step 2 — 产线数字孪生建模：构建产线级别的数字孪生模型，模拟不同订单组合下的排产方案，识别瓶颈工序并预演优化效果。 Step 3 — AI排产引擎上线：开发基于机器学习的智能排产算法，综合考虑设备可用性、模具切换时间、人员技能等约束条件，自动生成最优生产计划。 Step 4 — 实时动态调度：接入生产线实时数据，当出现设备异常或紧急插单时，引擎在分钟内重新计算并推送调整后的排产方案。 Step 5 — 全流程绩效看板：建立从接单到交付的全链路可视化仪表盘，管理者可实时追踪每个工单的进度与偏差。</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05.01.01 | 05.04.02 | 02.03.01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基于订单特征与产线状态的深度学习模型，自动匹配最优生产序列，实现排产效率的大幅提升。系统可处理多约束条件（设备、人员、物料）下的组合优化问题。</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1:1还原物理产线运行逻辑，支持排产方案的"What-if"推演，在虚拟环境中验证调度策略后再下发执行，显著降低试错成本。</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新一代MES融合实时数据流，支持毫秒级工单状态更新，与AI排产引擎形成闭环反馈，确保计划与执行的一致性。</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核心成效：制造交付周期缩短32%，订单准时交付率显著提升，产线综合利用率提高至行业领先水平。</w:t>
      </w:r>
    </w:p>
    <w:p>
      <w:pPr>
        <w:pStyle w:val="Heading3"/>
        <w:spacing w:after="100"/>
      </w:pPr>
      <w:r>
        <w:rPr>
          <w:rFonts w:ascii="Microsoft YaHei" w:cs="Microsoft YaHei" w:eastAsia="Microsoft YaHei" w:hAnsi="Microsoft YaHei"/>
          <w:b/>
          <w:bCs/>
          <w:i w:val="false"/>
          <w:iCs w:val="false"/>
          <w:color w:val="1E293B"/>
          <w:sz w:val="26"/>
          <w:szCs w:val="26"/>
        </w:rPr>
        <w:t xml:space="preserve">② ② 智能质量检测系统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痛点：冷藏集装箱的焊接质量、密封性和隔热层均匀度直接影响产品寿命与安全，传统人工目检依赖经验、漏检率高，且无法形成结构化的质量数据用于工艺改进。</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方案：部署基于机器视觉与深度学习融合的智能质量检测系统，覆盖焊接、密封、涂装等关键工序，实现从"人眼判断"到"AI判定"的质检模式升级，并将检测数据实时反馈到工艺优化闭环。</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高精度视觉采集部署：在焊接、密封测试、表面涂装等关键工位安装工业相机与多光谱传感器，构建全方位视觉采集网络。 Step 2 — 缺陷样本库建设与模型训练：收集数万张标注过的缺陷图像，涵盖焊缝气孔、密封胶不均匀、涂层瑕疵等典型问题，训练卷积神经网络（CNN）检测模型。 Step 3 — 在线实时检测上线：将训练好的模型部署到边缘计算节点，对生产线上每一件产品进行毫秒级自动检测，异常实时告警并自动标记。 Step 4 — 质量数据回溯与工艺闭环：将检测结果与MES工单、工艺参数关联，建立质量大数据平台，分析缺陷与工艺参数的关联关系，驱动工艺参数的自动调优。</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01.03.02 | 02.04.03 | 05.02.03</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采用CNN+Transformer混合架构的缺陷检测模型，对小尺寸、低对比度缺陷的识别准确率大幅超越人工目检水平。模型支持增量学习，持续优化对新缺陷类型的识别能力。</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将AI推理引擎部署在产线边缘节点，实现毫秒级检测响应，避免云端传输延迟。边缘节点同时承担数据预处理与初步筛选，仅将关键数据上传至中心平台。</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构建质量数据湖，对全量检测结果进行聚合分析，通过统计过程控制（SPC）自动识别工艺漂移趋势，在缺陷发生前发出预警。</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核心成效：产品缺陷率下降47%，一次合格率大幅提升，客户质量投诉减少超过60%。</w:t>
      </w:r>
    </w:p>
    <w:p>
      <w:pPr>
        <w:pStyle w:val="Heading3"/>
        <w:spacing w:after="100"/>
      </w:pPr>
      <w:r>
        <w:rPr>
          <w:rFonts w:ascii="Microsoft YaHei" w:cs="Microsoft YaHei" w:eastAsia="Microsoft YaHei" w:hAnsi="Microsoft YaHei"/>
          <w:b/>
          <w:bCs/>
          <w:i w:val="false"/>
          <w:iCs w:val="false"/>
          <w:color w:val="1E293B"/>
          <w:sz w:val="26"/>
          <w:szCs w:val="26"/>
        </w:rPr>
        <w:t xml:space="preserve">③ ③ 数字化的资源动态配置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痛点：冷藏箱制造涉及大量原材料（钢材、发泡料、制冷机组等），采购周期长、库存占用高。传统物料管理依赖计划员经验，难以应对订单波动和供应链中断，经常出现"该到的没到、不该到的堆积"。</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方案：建立数字化资源动态配置平台，打通供应商、仓储、产线三方数据，以AI算法实现物料需求的精准预测和资源的弹性调配，从"推式备料"转向"拉式供给"。</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供应链数据贯通：与核心供应商建立EDI电子数据交换通道，实现原材料库存、在途状态、预计到货时间的实时可见。 Step 2 — 物料需求预测建模：结合历史订单数据、市场趋势和排产计划，构建基于时序预测的物料需求模型，提前3-7天预警物料缺口。 Step 3 — 智能仓储调度：部署WMS升级版和AGV搬运系统，实现物料从入库到线边的自动化流转；产线呼叫系统与仓储系统联动，按需准时配送。 Step 4 — 资源弹性分配引擎：当出现紧急订单或物料短缺时，系统自动计算最优的资源重分配方案，平衡多条产线之间的物料、人力和设备资源。 Step 5 — 全链路成本看板：建立从采购到消耗的全链路成本追踪体系，实时核算每个工单的实际加工成本，识别异常波动并推送改进建议。</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04.02.03 | 03.04.01 | 06.02.03</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融合Prophet+LSTM的混合预测框架，对多品类原材料建立独立预测模型，捕获季节性波动和趋势变化。预测结果自动驱动采购建议和安全库存动态调整。</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AGV自动引导车对接WMS系统，按产线节拍精准配送物料至工位。仓储管理系统支持物料先进先出（FIFO）自动管控和批次追溯。</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将供应商、工厂、客户三方数据链路打通，构建统一的协同平台。订单变更信息实时同步至采购和排产系统，实现端到端的敏捷响应。</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核心成效：加工成本降低24%，库存周转率显著提高，紧急插单响应时间大幅缩短。</w:t>
      </w:r>
    </w:p>
    <w:p>
      <w:pPr>
        <w:pStyle w:val="Heading2"/>
        <w:spacing w:after="100"/>
      </w:pPr>
      <w:r>
        <w:rPr>
          <w:rFonts w:ascii="Microsoft YaHei" w:cs="Microsoft YaHei" w:eastAsia="Microsoft YaHei" w:hAnsi="Microsoft YaHei"/>
          <w:b/>
          <w:bCs/>
          <w:i w:val="false"/>
          <w:iCs w:val="false"/>
          <w:color w:val="1A56DB"/>
          <w:sz w:val="30"/>
          <w:szCs w:val="30"/>
        </w:rPr>
        <w:t xml:space="preserve">绩效改善总览</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2000"/>
        <w:gridCol w:w="4026"/>
      </w:tblGrid>
      <w:tr>
        <w:tc>
          <w:tcPr>
            <w:tcW w:type="dxa" w:w="3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指标</w:t>
            </w:r>
          </w:p>
        </w:tc>
        <w:tc>
          <w:tcPr>
            <w:tcW w:type="dxa" w:w="2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pPr>
              <w:jc w:val="center"/>
            </w:pPr>
            <w:r>
              <w:rPr>
                <w:rFonts w:ascii="Arial" w:cs="Arial" w:eastAsia="Arial" w:hAnsi="Arial"/>
                <w:b/>
                <w:bCs/>
                <w:color w:val="FFFFFF"/>
                <w:sz w:val="21"/>
                <w:szCs w:val="21"/>
              </w:rPr>
              <w:t xml:space="preserve">改善</w:t>
            </w:r>
          </w:p>
        </w:tc>
        <w:tc>
          <w:tcPr>
            <w:tcW w:type="dxa" w:w="4026"/>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技术手段</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制造交付周期</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↓32%</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AI排产引擎消除产线瓶颈，订单响应从"天级"缩短至"小时级"</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产品缺陷率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↓47%</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机器视觉AI检测全覆盖，从人工抽检升级为100%在线全检</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加工成本</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↓24%</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资源动态配置消除等待浪费，物料按需拉动配送到线边</w:t>
            </w:r>
          </w:p>
        </w:tc>
      </w:tr>
    </w:tbl>
    <w:p>
      <w:pPr>
        <w:spacing w:after="100"/>
      </w:pP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可复制性分析</w:t>
      </w:r>
    </w:p>
    <w:p>
      <w:pPr>
        <w:spacing w:after="80"/>
      </w:pPr>
      <w:r>
        <w:rPr>
          <w:rFonts w:ascii="Microsoft YaHei" w:cs="Microsoft YaHei" w:eastAsia="Microsoft YaHei" w:hAnsi="Microsoft YaHei"/>
          <w:b w:val="false"/>
          <w:bCs w:val="false"/>
          <w:i w:val="false"/>
          <w:iCs w:val="false"/>
          <w:color w:val="1E293B"/>
          <w:sz w:val="21"/>
          <w:szCs w:val="21"/>
        </w:rPr>
        <w:t xml:space="preserve">🏢 企业规模 中大型制造企业（年产值数十亿级） 💰 投入规模 数千万元级（含设备升级+软件平台+实施服务） ⏱️ 实施周期 2-3年（分阶段推进，首批见效6-12个月） 🎯 关键技术门槛 AI/ML建模能力、OT/IT融合经验、MES深度定制 👉 适合什么企业参考 多品种、变批量的离散制造企业，尤其是金属加工、装备制造、特种车辆等行业的工厂。已有MES/ERP基础的企业可直接借鉴AI排产和质量检测两大模块；信息化基础薄弱的企业建议先打好数据采集和系统集成的基础。</w:t>
      </w:r>
    </w:p>
    <w:p>
      <w:pPr>
        <w:pStyle w:val="Heading2"/>
        <w:spacing w:after="100"/>
      </w:pPr>
      <w:r>
        <w:rPr>
          <w:rFonts w:ascii="Microsoft YaHei" w:cs="Microsoft YaHei" w:eastAsia="Microsoft YaHei" w:hAnsi="Microsoft YaHei"/>
          <w:b/>
          <w:bCs/>
          <w:i w:val="false"/>
          <w:iCs w:val="false"/>
          <w:color w:val="1A56DB"/>
          <w:sz w:val="30"/>
          <w:szCs w:val="30"/>
        </w:rPr>
        <w:t xml:space="preserve">技术全景图</w:t>
      </w:r>
    </w:p>
    <w:p>
      <w:pPr>
        <w:spacing w:after="80"/>
      </w:pPr>
      <w:r>
        <w:rPr>
          <w:rFonts w:ascii="Microsoft YaHei" w:cs="Microsoft YaHei" w:eastAsia="Microsoft YaHei" w:hAnsi="Microsoft YaHei"/>
          <w:b w:val="false"/>
          <w:bCs w:val="false"/>
          <w:i w:val="false"/>
          <w:iCs w:val="false"/>
          <w:color w:val="1E293B"/>
          <w:sz w:val="21"/>
          <w:szCs w:val="21"/>
        </w:rPr>
        <w:t xml:space="preserve">🗺️ 技术全景图 01 智能装备 ✔️ 02 工业软件 ✔️ 03 智能工厂 ✔️ 04 智慧供应链 ✔️ 05 智能赋能技术 ✔️ 06 智能制造新模式 ✔️ 07 工业网络 ✔️ 08 系统安全 · 09 绿色可持续 · 已覆盖（7/9） 未涉及 WEF重点技术覆盖率：65%</w:t>
      </w:r>
    </w:p>
    <w:p>
      <w:pPr>
        <w:pStyle w:val="Heading2"/>
        <w:spacing w:after="100"/>
      </w:pPr>
      <w:r>
        <w:rPr>
          <w:rFonts w:ascii="Microsoft YaHei" w:cs="Microsoft YaHei" w:eastAsia="Microsoft YaHei" w:hAnsi="Microsoft YaHei"/>
          <w:b/>
          <w:bCs/>
          <w:i w:val="false"/>
          <w:iCs w:val="false"/>
          <w:color w:val="1A56DB"/>
          <w:sz w:val="30"/>
          <w:szCs w:val="30"/>
        </w:rPr>
        <w:t xml:space="preserve">行业对标</w:t>
      </w:r>
    </w:p>
    <w:p>
      <w:pPr>
        <w:spacing w:after="80"/>
      </w:pPr>
      <w:r>
        <w:rPr>
          <w:rFonts w:ascii="Microsoft YaHei" w:cs="Microsoft YaHei" w:eastAsia="Microsoft YaHei" w:hAnsi="Microsoft YaHei"/>
          <w:b w:val="false"/>
          <w:bCs w:val="false"/>
          <w:i w:val="false"/>
          <w:iCs w:val="false"/>
          <w:color w:val="1E293B"/>
          <w:sz w:val="21"/>
          <w:szCs w:val="21"/>
        </w:rPr>
        <w:t xml:space="preserve">🏭 行业对标视角 国标分类路径：C 制造业 → 33 金属制品业 → 333 集装箱及金属包装容器制造 → 3331 集装箱制造 📌 同批次先进工业类别集中，本案例作为大金属制品领域首个灯塔，填补了集装箱制造子行业的标杆空白。 🏭 施耐德电气北京 批次16 · 可持续 🏭 罗克韦尔自动化新加坡 批次16 · 生产效率 🏭 Hitachi Vantara诺曼工厂 批次16 · 生产效率 🏭 日日顺青岛智慧物流园 批次16 · 供应链韧性 🏭 西门子成都工厂（参考） 批次11 · 端到端 💡 集装箱制造数字化先锋：作为全球集装箱行业第一个入选灯塔网络的企业，青岛中集冷藏箱的实践证明了传统金属制品行业同样可以实现高水平的数字化和AI融合。与施耐德、罗克韦尔等自动化巨头不同，中集的案例更贴近"传统制造+AI赋能"的真实路径，对国内大量处于转型期的中小制造企业具有更高的参考价值。</w:t>
      </w:r>
    </w:p>
    <w:p>
      <w:pPr>
        <w:pStyle w:val="Heading2"/>
        <w:spacing w:after="100"/>
      </w:pPr>
      <w:r>
        <w:rPr>
          <w:rFonts w:ascii="Microsoft YaHei" w:cs="Microsoft YaHei" w:eastAsia="Microsoft YaHei" w:hAnsi="Microsoft YaHei"/>
          <w:b/>
          <w:bCs/>
          <w:i w:val="false"/>
          <w:iCs w:val="false"/>
          <w:color w:val="1A56DB"/>
          <w:sz w:val="30"/>
          <w:szCs w:val="30"/>
        </w:rPr>
        <w:t xml:space="preserve">互动</w:t>
      </w:r>
    </w:p>
    <w:p>
      <w:pPr>
        <w:spacing w:after="80"/>
      </w:pPr>
      <w:r>
        <w:rPr>
          <w:rFonts w:ascii="Microsoft YaHei" w:cs="Microsoft YaHei" w:eastAsia="Microsoft YaHei" w:hAnsi="Microsoft YaHei"/>
          <w:b w:val="false"/>
          <w:bCs w:val="false"/>
          <w:i w:val="false"/>
          <w:iCs w:val="false"/>
          <w:color w:val="1E293B"/>
          <w:sz w:val="21"/>
          <w:szCs w:val="21"/>
        </w:rPr>
        <w:t xml:space="preserve">💬 互动 你觉得传统制造业引入AI排产和视觉检测，最大的阻力是技术还是组织？ 👇 欢迎在评论区分享你的经验与困惑 📊 灯塔名录 回复【名录】获取完整名单 🔍 灯塔案例 回复【分析+企业名】 🦞 灯塔虾评 回复【自测】评估差距</w:t>
      </w:r>
    </w:p>
    <w:p>
      <w:pPr>
        <w:spacing w:after="80"/>
      </w:pPr>
      <w:r>
        <w:rPr>
          <w:rFonts w:ascii="Microsoft YaHei" w:cs="Microsoft YaHei" w:eastAsia="Microsoft YaHei" w:hAnsi="Microsoft YaHei"/>
          <w:b w:val="false"/>
          <w:bCs w:val="false"/>
          <w:i w:val="false"/>
          <w:iCs w:val="false"/>
          <w:color w:val="64748B"/>
          <w:sz w:val="21"/>
          <w:szCs w:val="21"/>
        </w:rPr>
        <w:t xml:space="preserve">📥 下载此案例（多种格式） 🌐 网页 📽️ 幻灯片 📊 PPTX 📄 DOCX 🗂️ JSON 📝 MD 📋 CSV</w:t>
      </w:r>
    </w:p>
    <w:p>
      <w:pPr>
        <w:spacing w:after="60" w:before="100"/>
        <w:jc w:val="center"/>
      </w:pPr>
      <w:r>
        <w:rPr>
          <w:rFonts w:ascii="Microsoft YaHei" w:cs="Microsoft YaHei" w:eastAsia="Microsoft YaHei" w:hAnsi="Microsoft YaHei"/>
          <w:b w:val="false"/>
          <w:bCs w:val="false"/>
          <w:i w:val="false"/>
          <w:iCs w:val="false"/>
          <w:color w:val="94A3B8"/>
          <w:sz w:val="18"/>
          <w:szCs w:val="18"/>
        </w:rPr>
        <w:t xml:space="preserve">❤️ 点「在看」，让更多同行看到 数据来源：WEF全球灯塔网络官方公告（2026年6月）、中集集团官方新闻 老陈说灯塔 · 每周一个灯塔工厂深度拆解</w:t>
      </w:r>
    </w:p>
    <w:p>
      <w:pPr>
        <w:spacing w:after="100"/>
      </w:pPr>
    </w:p>
    <w:p>
      <w:pPr>
        <w:spacing w:after="60" w:before="200"/>
        <w:jc w:val="center"/>
      </w:pPr>
      <w:r>
        <w:rPr>
          <w:rFonts w:ascii="Microsoft YaHei" w:cs="Microsoft YaHei" w:eastAsia="Microsoft YaHei" w:hAnsi="Microsoft YaHei"/>
          <w:b w:val="false"/>
          <w:bCs w:val="false"/>
          <w:i w:val="false"/>
          <w:iCs w:val="false"/>
          <w:color w:val="94A3B8"/>
          <w:sz w:val="18"/>
          <w:szCs w:val="18"/>
        </w:rPr>
        <w:t xml:space="preserve">数据来源：世界经济论坛（WEF）全球灯塔网络 · 公开报道</w:t>
      </w:r>
    </w:p>
    <w:p>
      <w:pPr>
        <w:spacing w:after="100"/>
        <w:jc w:val="center"/>
      </w:pPr>
      <w:r>
        <w:rPr>
          <w:rFonts w:ascii="Microsoft YaHei" w:cs="Microsoft YaHei" w:eastAsia="Microsoft YaHei" w:hAnsi="Microsoft YaHei"/>
          <w:b w:val="false"/>
          <w:bCs w:val="false"/>
          <w:i w:val="false"/>
          <w:iCs w:val="false"/>
          <w:color w:val="94A3B8"/>
          <w:sz w:val="18"/>
          <w:szCs w:val="18"/>
        </w:rPr>
        <w:t xml:space="preserve">老陈说灯塔 · 每周一个灯塔工厂深度拆解</w:t>
      </w:r>
    </w:p>
    <w:sectPr>
      <w:pgSz w:w="11906" w:h="16838" w:orient="portrait"/>
      <w:pgMar w:top="1134"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YaHei" w:cs="Microsoft YaHei" w:eastAsia="Microsoft YaHei" w:hAnsi="Microsoft YaHe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rPr>
      <w:rFonts w:ascii="Microsoft YaHei" w:cs="Microsoft YaHei" w:eastAsia="Microsoft YaHei" w:hAnsi="Microsoft YaHei"/>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2026-07-01T03:29:24.457Z</dcterms:created>
  <dcterms:modified xsi:type="dcterms:W3CDTF">2026-07-01T03:29:24.467Z</dcterms:modified>
</cp:coreProperties>
</file>

<file path=docProps/custom.xml><?xml version="1.0" encoding="utf-8"?>
<Properties xmlns="http://schemas.openxmlformats.org/officeDocument/2006/custom-properties" xmlns:vt="http://schemas.openxmlformats.org/officeDocument/2006/docPropsVTypes"/>
</file>