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spacing w:after="200"/>
        <w:jc w:val="center"/>
      </w:pPr>
      <w:r>
        <w:rPr>
          <w:rFonts w:ascii="Microsoft YaHei" w:cs="Microsoft YaHei" w:eastAsia="Microsoft YaHei" w:hAnsi="Microsoft YaHei"/>
          <w:b/>
          <w:bCs/>
          <w:i w:val="false"/>
          <w:iCs w:val="false"/>
          <w:color w:val="1E293B"/>
          <w:sz w:val="44"/>
          <w:szCs w:val="44"/>
        </w:rPr>
        <w:t xml:space="preserve">灯塔案例｜太极集团涪陵制药厂</w:t>
      </w:r>
    </w:p>
    <w:p>
      <w:pPr>
        <w:spacing w:after="100"/>
      </w:pPr>
    </w:p>
    <w:p>
      <w:pPr>
        <w:spacing w:after="60"/>
        <w:ind w:left="567"/>
      </w:pPr>
      <w:r>
        <w:rPr>
          <w:rFonts w:ascii="Microsoft YaHei" w:cs="Microsoft YaHei" w:eastAsia="Microsoft YaHei" w:hAnsi="Microsoft YaHei"/>
          <w:b/>
          <w:bCs/>
          <w:i/>
          <w:iCs/>
          <w:color w:val="1A56DB"/>
          <w:sz w:val="26"/>
          <w:szCs w:val="26"/>
        </w:rPr>
        <w:t xml:space="preserve">全球首座中药工业灯塔工厂——将千年炒制工艺注入数字灵魂，质量偏差↓33%，OEE↑13%，成本↓10%，用三十余项先进技术方案为传统中药制造趟出一条可复制的数智化之路。</w:t>
      </w:r>
    </w:p>
    <w:p>
      <w:pPr>
        <w:spacing w:after="200"/>
        <w:ind w:left="567"/>
      </w:pPr>
      <w:r>
        <w:rPr>
          <w:rFonts w:ascii="Microsoft YaHei" w:cs="Microsoft YaHei" w:eastAsia="Microsoft YaHei" w:hAnsi="Microsoft YaHei"/>
          <w:b w:val="false"/>
          <w:bCs w:val="false"/>
          <w:i w:val="false"/>
          <w:iCs w:val="false"/>
          <w:color w:val="64748B"/>
          <w:sz w:val="20"/>
          <w:szCs w:val="20"/>
        </w:rPr>
        <w:t xml:space="preserve">—— 太极集团涪陵制药厂 · 第16批 · 生产效率灯塔 · 2026年06月</w:t>
      </w:r>
    </w:p>
    <w:p>
      <w:pPr>
        <w:pStyle w:val="Heading2"/>
        <w:spacing w:after="100"/>
      </w:pPr>
      <w:r>
        <w:rPr>
          <w:rFonts w:ascii="Microsoft YaHei" w:cs="Microsoft YaHei" w:eastAsia="Microsoft YaHei" w:hAnsi="Microsoft YaHei"/>
          <w:b/>
          <w:bCs/>
          <w:i w:val="false"/>
          <w:iCs w:val="false"/>
          <w:color w:val="1A56DB"/>
          <w:sz w:val="30"/>
          <w:szCs w:val="30"/>
        </w:rPr>
        <w:t xml:space="preserve">企业名片</w:t>
      </w:r>
    </w:p>
    <w:p>
      <w:pPr>
        <w:spacing w:after="100"/>
      </w:pPr>
      <w:r>
        <w:rPr>
          <w:rFonts w:ascii="Microsoft YaHei" w:cs="Microsoft YaHei" w:eastAsia="Microsoft YaHei" w:hAnsi="Microsoft YaHei"/>
          <w:b/>
          <w:bCs/>
          <w:i w:val="false"/>
          <w:iCs w:val="false"/>
          <w:color w:val="2E7D32"/>
          <w:sz w:val="28"/>
          <w:szCs w:val="28"/>
        </w:rPr>
        <w:t xml:space="preserve">🔖 灯塔编码：25616CN10</w:t>
      </w:r>
    </w:p>
    <w:p>
      <w:pPr>
        <w:spacing w:after="80"/>
      </w:pPr>
      <w:r>
        <w:rPr>
          <w:rFonts w:ascii="Microsoft YaHei" w:cs="Microsoft YaHei" w:eastAsia="Microsoft YaHei" w:hAnsi="Microsoft YaHei"/>
          <w:b/>
          <w:bCs/>
          <w:i w:val="false"/>
          <w:iCs w:val="false"/>
          <w:color w:val="1E293B"/>
          <w:sz w:val="22"/>
          <w:szCs w:val="22"/>
        </w:rPr>
        <w:t xml:space="preserve">企业名称：</w:t>
      </w:r>
      <w:r>
        <w:rPr>
          <w:rFonts w:ascii="Microsoft YaHei" w:cs="Microsoft YaHei" w:eastAsia="Microsoft YaHei" w:hAnsi="Microsoft YaHei"/>
          <w:b w:val="false"/>
          <w:bCs w:val="false"/>
          <w:i w:val="false"/>
          <w:iCs w:val="false"/>
          <w:color w:val="1E293B"/>
          <w:sz w:val="22"/>
          <w:szCs w:val="22"/>
        </w:rPr>
        <w:t xml:space="preserve">太极集团涪陵制药厂</w:t>
      </w:r>
    </w:p>
    <w:p>
      <w:pPr>
        <w:spacing w:after="80"/>
      </w:pPr>
      <w:r>
        <w:rPr>
          <w:rFonts w:ascii="Microsoft YaHei" w:cs="Microsoft YaHei" w:eastAsia="Microsoft YaHei" w:hAnsi="Microsoft YaHei"/>
          <w:b/>
          <w:bCs/>
          <w:i w:val="false"/>
          <w:iCs w:val="false"/>
          <w:color w:val="1E293B"/>
          <w:sz w:val="22"/>
          <w:szCs w:val="22"/>
        </w:rPr>
        <w:t xml:space="preserve">工厂所在地：</w:t>
      </w:r>
      <w:r>
        <w:rPr>
          <w:rFonts w:ascii="Microsoft YaHei" w:cs="Microsoft YaHei" w:eastAsia="Microsoft YaHei" w:hAnsi="Microsoft YaHei"/>
          <w:b w:val="false"/>
          <w:bCs w:val="false"/>
          <w:i w:val="false"/>
          <w:iCs w:val="false"/>
          <w:color w:val="1E293B"/>
          <w:sz w:val="22"/>
          <w:szCs w:val="22"/>
        </w:rPr>
        <w:t xml:space="preserve">中国 · 中国 · 重庆</w:t>
      </w:r>
    </w:p>
    <w:p>
      <w:pPr>
        <w:spacing w:after="80"/>
      </w:pPr>
      <w:r>
        <w:rPr>
          <w:rFonts w:ascii="Microsoft YaHei" w:cs="Microsoft YaHei" w:eastAsia="Microsoft YaHei" w:hAnsi="Microsoft YaHei"/>
          <w:b/>
          <w:bCs/>
          <w:i w:val="false"/>
          <w:iCs w:val="false"/>
          <w:color w:val="1E293B"/>
          <w:sz w:val="22"/>
          <w:szCs w:val="22"/>
        </w:rPr>
        <w:t xml:space="preserve">所属行业：</w:t>
      </w:r>
      <w:r>
        <w:rPr>
          <w:rFonts w:ascii="Microsoft YaHei" w:cs="Microsoft YaHei" w:eastAsia="Microsoft YaHei" w:hAnsi="Microsoft YaHei"/>
          <w:b w:val="false"/>
          <w:bCs w:val="false"/>
          <w:i w:val="false"/>
          <w:iCs w:val="false"/>
          <w:color w:val="1E293B"/>
          <w:sz w:val="22"/>
          <w:szCs w:val="22"/>
        </w:rPr>
        <w:t xml:space="preserve"> · 中成药制造 (GBT )</w:t>
      </w:r>
    </w:p>
    <w:p>
      <w:pPr>
        <w:spacing w:after="80"/>
      </w:pPr>
      <w:r>
        <w:rPr>
          <w:rFonts w:ascii="Microsoft YaHei" w:cs="Microsoft YaHei" w:eastAsia="Microsoft YaHei" w:hAnsi="Microsoft YaHei"/>
          <w:b/>
          <w:bCs/>
          <w:i w:val="false"/>
          <w:iCs w:val="false"/>
          <w:color w:val="1E293B"/>
          <w:sz w:val="22"/>
          <w:szCs w:val="22"/>
        </w:rPr>
        <w:t xml:space="preserve">灯塔类型：</w:t>
      </w:r>
      <w:r>
        <w:rPr>
          <w:rFonts w:ascii="Microsoft YaHei" w:cs="Microsoft YaHei" w:eastAsia="Microsoft YaHei" w:hAnsi="Microsoft YaHei"/>
          <w:b w:val="false"/>
          <w:bCs w:val="false"/>
          <w:i w:val="false"/>
          <w:iCs w:val="false"/>
          <w:color w:val="1E293B"/>
          <w:sz w:val="22"/>
          <w:szCs w:val="22"/>
        </w:rPr>
        <w:t xml:space="preserve">生产效率</w:t>
      </w:r>
    </w:p>
    <w:p>
      <w:pPr>
        <w:spacing w:after="80"/>
      </w:pPr>
      <w:r>
        <w:rPr>
          <w:rFonts w:ascii="Microsoft YaHei" w:cs="Microsoft YaHei" w:eastAsia="Microsoft YaHei" w:hAnsi="Microsoft YaHei"/>
          <w:b/>
          <w:bCs/>
          <w:i w:val="false"/>
          <w:iCs w:val="false"/>
          <w:color w:val="1E293B"/>
          <w:sz w:val="22"/>
          <w:szCs w:val="22"/>
        </w:rPr>
        <w:t xml:space="preserve">批次/发布日期：</w:t>
      </w:r>
      <w:r>
        <w:rPr>
          <w:rFonts w:ascii="Microsoft YaHei" w:cs="Microsoft YaHei" w:eastAsia="Microsoft YaHei" w:hAnsi="Microsoft YaHei"/>
          <w:b w:val="false"/>
          <w:bCs w:val="false"/>
          <w:i w:val="false"/>
          <w:iCs w:val="false"/>
          <w:color w:val="1E293B"/>
          <w:sz w:val="22"/>
          <w:szCs w:val="22"/>
        </w:rPr>
        <w:t xml:space="preserve">第16批 · 2026年06月</w:t>
      </w:r>
    </w:p>
    <w:p>
      <w:pPr>
        <w:spacing w:after="100"/>
      </w:pPr>
    </w:p>
    <w:p>
      <w:pPr>
        <w:pStyle w:val="Heading2"/>
        <w:spacing w:after="100"/>
      </w:pPr>
      <w:r>
        <w:rPr>
          <w:rFonts w:ascii="Microsoft YaHei" w:cs="Microsoft YaHei" w:eastAsia="Microsoft YaHei" w:hAnsi="Microsoft YaHei"/>
          <w:b/>
          <w:bCs/>
          <w:i w:val="false"/>
          <w:iCs w:val="false"/>
          <w:color w:val="1A56DB"/>
          <w:sz w:val="30"/>
          <w:szCs w:val="30"/>
        </w:rPr>
        <w:t xml:space="preserve">3大核心案例</w:t>
      </w:r>
    </w:p>
    <w:p>
      <w:pPr>
        <w:pStyle w:val="Heading3"/>
        <w:spacing w:after="100"/>
      </w:pPr>
      <w:r>
        <w:rPr>
          <w:rFonts w:ascii="Microsoft YaHei" w:cs="Microsoft YaHei" w:eastAsia="Microsoft YaHei" w:hAnsi="Microsoft YaHei"/>
          <w:b/>
          <w:bCs/>
          <w:i w:val="false"/>
          <w:iCs w:val="false"/>
          <w:color w:val="1E293B"/>
          <w:sz w:val="26"/>
          <w:szCs w:val="26"/>
        </w:rPr>
        <w:t xml:space="preserve">① ① 数字化炒制标准体系 核心用例</w:t>
      </w:r>
    </w:p>
    <w:p>
      <w:pPr>
        <w:spacing w:after="80"/>
      </w:pPr>
      <w:r>
        <w:rPr>
          <w:rFonts w:ascii="Microsoft YaHei" w:cs="Microsoft YaHei" w:eastAsia="Microsoft YaHei" w:hAnsi="Microsoft YaHei"/>
          <w:b/>
          <w:bCs/>
          <w:i w:val="false"/>
          <w:iCs w:val="false"/>
          <w:color w:val="DC2626"/>
          <w:sz w:val="22"/>
          <w:szCs w:val="22"/>
        </w:rPr>
        <w:t xml:space="preserve">业务痛点：</w:t>
      </w:r>
      <w:r>
        <w:rPr>
          <w:rFonts w:ascii="Microsoft YaHei" w:cs="Microsoft YaHei" w:eastAsia="Microsoft YaHei" w:hAnsi="Microsoft YaHei"/>
          <w:b w:val="false"/>
          <w:bCs w:val="false"/>
          <w:i w:val="false"/>
          <w:iCs w:val="false"/>
          <w:color w:val="DC2626"/>
          <w:sz w:val="21"/>
          <w:szCs w:val="21"/>
        </w:rPr>
        <w:t xml:space="preserve">⚠️ 痛点：中药炒制长期依赖老药工个人经验，火候、时间、翻动频率全凭手感判断，"一锅一味道"，批次间质量波动大，无法满足GMP规范和规模化生产的一致性要求。</w:t>
      </w:r>
    </w:p>
    <w:p>
      <w:pPr>
        <w:spacing w:after="80"/>
      </w:pPr>
      <w:r>
        <w:rPr>
          <w:rFonts w:ascii="Microsoft YaHei" w:cs="Microsoft YaHei" w:eastAsia="Microsoft YaHei" w:hAnsi="Microsoft YaHei"/>
          <w:b/>
          <w:bCs/>
          <w:i w:val="false"/>
          <w:iCs w:val="false"/>
          <w:color w:val="1A56DB"/>
          <w:sz w:val="22"/>
          <w:szCs w:val="22"/>
        </w:rPr>
        <w:t xml:space="preserve">解决思路：</w:t>
      </w:r>
      <w:r>
        <w:rPr>
          <w:rFonts w:ascii="Microsoft YaHei" w:cs="Microsoft YaHei" w:eastAsia="Microsoft YaHei" w:hAnsi="Microsoft YaHei"/>
          <w:b w:val="false"/>
          <w:bCs w:val="false"/>
          <w:i w:val="false"/>
          <w:iCs w:val="false"/>
          <w:color w:val="1A56DB"/>
          <w:sz w:val="21"/>
          <w:szCs w:val="21"/>
        </w:rPr>
        <w:t xml:space="preserve">💡 方案：建立覆盖全工序的数字化炒制标准体系，将传统师徒口传心授的"火候经验"转化为可量化、可复现、可优化的工艺参数模型。</w:t>
      </w:r>
    </w:p>
    <w:p>
      <w:pPr>
        <w:spacing w:after="80"/>
      </w:pPr>
      <w:r>
        <w:rPr>
          <w:rFonts w:ascii="Microsoft YaHei" w:cs="Microsoft YaHei" w:eastAsia="Microsoft YaHei" w:hAnsi="Microsoft YaHei"/>
          <w:b/>
          <w:bCs/>
          <w:i w:val="false"/>
          <w:iCs w:val="false"/>
          <w:color w:val="1E293B"/>
          <w:sz w:val="22"/>
          <w:szCs w:val="22"/>
        </w:rPr>
        <w:t xml:space="preserve">实施路径：</w:t>
      </w:r>
      <w:r>
        <w:rPr>
          <w:rFonts w:ascii="Microsoft YaHei" w:cs="Microsoft YaHei" w:eastAsia="Microsoft YaHei" w:hAnsi="Microsoft YaHei"/>
          <w:b w:val="false"/>
          <w:bCs w:val="false"/>
          <w:i w:val="false"/>
          <w:iCs w:val="false"/>
          <w:color w:val="1E293B"/>
          <w:sz w:val="21"/>
          <w:szCs w:val="21"/>
        </w:rPr>
        <w:t xml:space="preserve">Step 1 — 经验数字化采集：对老药工炒制全过程进行多维度传感数据采集（温度曲线、湿度变化、色泽演变、气味特征），建立炒制工艺原始数据库。 Step 2 — 工艺参数建模：基于采集数据构建炒制工艺参数模型，定义温度-时间-翻动频率的标准曲线，固化"文火-武火-中火"三阶段控温逻辑。 Step 3 — SCADA+MES联动部署：在太极医药城B区部署SCADA系统作为产线神经中枢，对接MES系统实现工艺参数的自动下发与实时监控，DCS系统远程操控1200余台设备。 Step 4 — 闭环优化迭代：利用生产批次数据持续训练工艺模型，自动调节炒制参数以适应不同批次原料特性差异，实现自适应工艺优化。 Step 5 — 全链条质量追溯：建立从原料批号到成品出库的数字化追溯链，确保每一瓶药品的炒制过程数据可查询、可回溯。</w:t>
      </w:r>
    </w:p>
    <w:p>
      <w:pPr>
        <w:spacing w:after="60"/>
      </w:pPr>
      <w:r>
        <w:rPr>
          <w:rFonts w:ascii="Microsoft YaHei" w:cs="Microsoft YaHei" w:eastAsia="Microsoft YaHei" w:hAnsi="Microsoft YaHei"/>
          <w:b/>
          <w:bCs/>
          <w:i w:val="false"/>
          <w:iCs w:val="false"/>
          <w:color w:val="1E293B"/>
          <w:sz w:val="22"/>
          <w:szCs w:val="22"/>
        </w:rPr>
        <w:t xml:space="preserve">技术标签：</w:t>
      </w:r>
      <w:r>
        <w:rPr>
          <w:rFonts w:ascii="Microsoft YaHei" w:cs="Microsoft YaHei" w:eastAsia="Microsoft YaHei" w:hAnsi="Microsoft YaHei"/>
          <w:b w:val="false"/>
          <w:bCs w:val="false"/>
          <w:i w:val="false"/>
          <w:iCs w:val="false"/>
          <w:color w:val="0369A1"/>
          <w:sz w:val="21"/>
          <w:szCs w:val="21"/>
        </w:rPr>
        <w:t xml:space="preserve">02.03.01 | 01.01.05 | 03.03.04</w:t>
      </w:r>
    </w:p>
    <w:p>
      <w:pPr>
        <w:spacing w:after="40"/>
        <w:ind w:left="200"/>
      </w:pPr>
      <w:r>
        <w:rPr>
          <w:rFonts w:ascii="Microsoft YaHei" w:cs="Microsoft YaHei" w:eastAsia="Microsoft YaHei" w:hAnsi="Microsoft YaHei"/>
          <w:b w:val="false"/>
          <w:bCs w:val="false"/>
          <w:i w:val="false"/>
          <w:iCs w:val="false"/>
          <w:color w:val="475569"/>
          <w:sz w:val="20"/>
          <w:szCs w:val="20"/>
        </w:rPr>
        <w:t xml:space="preserve">MES作为生产管控中枢，承载炒制工艺标准参数的存储与下发，与SCADA系统实时交互，监控每批炒制工艺曲线是否偏离标准模型。当原料批次切换时，MES自动调取对应工艺配方，确保不同批次原料使用最优炒制参数。</w:t>
      </w:r>
    </w:p>
    <w:p>
      <w:pPr>
        <w:spacing w:after="40"/>
        <w:ind w:left="200"/>
      </w:pPr>
      <w:r>
        <w:rPr>
          <w:rFonts w:ascii="Microsoft YaHei" w:cs="Microsoft YaHei" w:eastAsia="Microsoft YaHei" w:hAnsi="Microsoft YaHei"/>
          <w:b w:val="false"/>
          <w:bCs w:val="false"/>
          <w:i w:val="false"/>
          <w:iCs w:val="false"/>
          <w:color w:val="475569"/>
          <w:sz w:val="20"/>
          <w:szCs w:val="20"/>
        </w:rPr>
        <w:t xml:space="preserve">在炒药机关键点位部署温度、湿度、色泽、气味等多类型传感器，构建炒制过程IoT数据采集网络。每秒采集数百个数据点，经工业网关汇聚至SCADA系统，为工艺参数建模提供高质量实时数据流。</w:t>
      </w:r>
    </w:p>
    <w:p>
      <w:pPr>
        <w:spacing w:after="40"/>
        <w:ind w:left="200"/>
      </w:pPr>
      <w:r>
        <w:rPr>
          <w:rFonts w:ascii="Microsoft YaHei" w:cs="Microsoft YaHei" w:eastAsia="Microsoft YaHei" w:hAnsi="Microsoft YaHei"/>
          <w:b w:val="false"/>
          <w:bCs w:val="false"/>
          <w:i w:val="false"/>
          <w:iCs w:val="false"/>
          <w:color w:val="475569"/>
          <w:sz w:val="20"/>
          <w:szCs w:val="20"/>
        </w:rPr>
        <w:t xml:space="preserve">将传统"看火候"经验转化为数据驱动的工艺优化闭环。基于历史批次数据训练工艺参数模型，自动识别最优炒制窗口，实现从"经验定性"到"数据定量"的跨越。</w:t>
      </w:r>
    </w:p>
    <w:p>
      <w:pPr>
        <w:spacing w:after="60"/>
      </w:pPr>
      <w:r>
        <w:rPr>
          <w:rFonts w:ascii="Microsoft YaHei" w:cs="Microsoft YaHei" w:eastAsia="Microsoft YaHei" w:hAnsi="Microsoft YaHei"/>
          <w:b w:val="false"/>
          <w:bCs w:val="false"/>
          <w:i w:val="false"/>
          <w:iCs w:val="false"/>
          <w:color w:val="1E293B"/>
          <w:sz w:val="21"/>
          <w:szCs w:val="21"/>
        </w:rPr>
        <w:t xml:space="preserve">关键数据：📊 核心成效：炒制工序标准执行率达100%，批次间质量一致性显著提升，为OEE综合提升贡献关键支撑。</w:t>
      </w:r>
    </w:p>
    <w:p>
      <w:pPr>
        <w:pStyle w:val="Heading3"/>
        <w:spacing w:after="100"/>
      </w:pPr>
      <w:r>
        <w:rPr>
          <w:rFonts w:ascii="Microsoft YaHei" w:cs="Microsoft YaHei" w:eastAsia="Microsoft YaHei" w:hAnsi="Microsoft YaHei"/>
          <w:b/>
          <w:bCs/>
          <w:i w:val="false"/>
          <w:iCs w:val="false"/>
          <w:color w:val="1E293B"/>
          <w:sz w:val="26"/>
          <w:szCs w:val="26"/>
        </w:rPr>
        <w:t xml:space="preserve">② ② 智能质量标志物分析 核心用例</w:t>
      </w:r>
    </w:p>
    <w:p>
      <w:pPr>
        <w:spacing w:after="80"/>
      </w:pPr>
      <w:r>
        <w:rPr>
          <w:rFonts w:ascii="Microsoft YaHei" w:cs="Microsoft YaHei" w:eastAsia="Microsoft YaHei" w:hAnsi="Microsoft YaHei"/>
          <w:b/>
          <w:bCs/>
          <w:i w:val="false"/>
          <w:iCs w:val="false"/>
          <w:color w:val="DC2626"/>
          <w:sz w:val="22"/>
          <w:szCs w:val="22"/>
        </w:rPr>
        <w:t xml:space="preserve">业务痛点：</w:t>
      </w:r>
      <w:r>
        <w:rPr>
          <w:rFonts w:ascii="Microsoft YaHei" w:cs="Microsoft YaHei" w:eastAsia="Microsoft YaHei" w:hAnsi="Microsoft YaHei"/>
          <w:b w:val="false"/>
          <w:bCs w:val="false"/>
          <w:i w:val="false"/>
          <w:iCs w:val="false"/>
          <w:color w:val="DC2626"/>
          <w:sz w:val="21"/>
          <w:szCs w:val="21"/>
        </w:rPr>
        <w:t xml:space="preserve">⚠️ 痛点：中药成分复杂，传统质量检测依赖理化指标和人工鉴别，难以精准捕捉药效物质群的变化，质量控制停留在"合格/不合格"的二元判定，缺乏对生产过程中质量波动的预测和干预能力。</w:t>
      </w:r>
    </w:p>
    <w:p>
      <w:pPr>
        <w:spacing w:after="80"/>
      </w:pPr>
      <w:r>
        <w:rPr>
          <w:rFonts w:ascii="Microsoft YaHei" w:cs="Microsoft YaHei" w:eastAsia="Microsoft YaHei" w:hAnsi="Microsoft YaHei"/>
          <w:b/>
          <w:bCs/>
          <w:i w:val="false"/>
          <w:iCs w:val="false"/>
          <w:color w:val="1A56DB"/>
          <w:sz w:val="22"/>
          <w:szCs w:val="22"/>
        </w:rPr>
        <w:t xml:space="preserve">解决思路：</w:t>
      </w:r>
      <w:r>
        <w:rPr>
          <w:rFonts w:ascii="Microsoft YaHei" w:cs="Microsoft YaHei" w:eastAsia="Microsoft YaHei" w:hAnsi="Microsoft YaHei"/>
          <w:b w:val="false"/>
          <w:bCs w:val="false"/>
          <w:i w:val="false"/>
          <w:iCs w:val="false"/>
          <w:color w:val="1A56DB"/>
          <w:sz w:val="21"/>
          <w:szCs w:val="21"/>
        </w:rPr>
        <w:t xml:space="preserve">💡 方案：构建基于AI和大数据分析的中药质量标志物（Q-Marker）智能分析平台，实现从原料入库到成品放行的全过程精准质量管控。</w:t>
      </w:r>
    </w:p>
    <w:p>
      <w:pPr>
        <w:spacing w:after="80"/>
      </w:pPr>
      <w:r>
        <w:rPr>
          <w:rFonts w:ascii="Microsoft YaHei" w:cs="Microsoft YaHei" w:eastAsia="Microsoft YaHei" w:hAnsi="Microsoft YaHei"/>
          <w:b/>
          <w:bCs/>
          <w:i w:val="false"/>
          <w:iCs w:val="false"/>
          <w:color w:val="1E293B"/>
          <w:sz w:val="22"/>
          <w:szCs w:val="22"/>
        </w:rPr>
        <w:t xml:space="preserve">实施路径：</w:t>
      </w:r>
      <w:r>
        <w:rPr>
          <w:rFonts w:ascii="Microsoft YaHei" w:cs="Microsoft YaHei" w:eastAsia="Microsoft YaHei" w:hAnsi="Microsoft YaHei"/>
          <w:b w:val="false"/>
          <w:bCs w:val="false"/>
          <w:i w:val="false"/>
          <w:iCs w:val="false"/>
          <w:color w:val="1E293B"/>
          <w:sz w:val="21"/>
          <w:szCs w:val="21"/>
        </w:rPr>
        <w:t xml:space="preserve">Step 1 — 质量标志物筛选与建库：联合科研机构，基于中药化学指纹图谱技术筛选藿香正气口服液等核心产品的关键质量标志物（Q-Marker），建立标志物标准谱库。 Step 2 — 在线检测传感部署：在提取浓缩、制剂灌装等关键工序部署近红外光谱（NIR）、高效液相色谱（HPLC）等在线检测设备，实现质量标志物的实时浓度监测。 Step 3 — AI质量预测建模：利用机器学习算法建立质量标志物含量与工艺参数之间的预测模型，实现"投料前即可预测成品质量"，将质量控制前置到生产过程而非事后检验。 Step 4 — 实时偏差预警与干预：当在线检测数据偏离模型预测区间时，系统自动触发预警，联动MES调整工艺参数（如提取温度、浓缩时间），将质量偏差消灭在萌芽状态。</w:t>
      </w:r>
    </w:p>
    <w:p>
      <w:pPr>
        <w:spacing w:after="60"/>
      </w:pPr>
      <w:r>
        <w:rPr>
          <w:rFonts w:ascii="Microsoft YaHei" w:cs="Microsoft YaHei" w:eastAsia="Microsoft YaHei" w:hAnsi="Microsoft YaHei"/>
          <w:b/>
          <w:bCs/>
          <w:i w:val="false"/>
          <w:iCs w:val="false"/>
          <w:color w:val="1E293B"/>
          <w:sz w:val="22"/>
          <w:szCs w:val="22"/>
        </w:rPr>
        <w:t xml:space="preserve">技术标签：</w:t>
      </w:r>
      <w:r>
        <w:rPr>
          <w:rFonts w:ascii="Microsoft YaHei" w:cs="Microsoft YaHei" w:eastAsia="Microsoft YaHei" w:hAnsi="Microsoft YaHei"/>
          <w:b w:val="false"/>
          <w:bCs w:val="false"/>
          <w:i w:val="false"/>
          <w:iCs w:val="false"/>
          <w:color w:val="0369A1"/>
          <w:sz w:val="21"/>
          <w:szCs w:val="21"/>
        </w:rPr>
        <w:t xml:space="preserve">05.01.01 | 05.02.01 | 01.03.02</w:t>
      </w:r>
    </w:p>
    <w:p>
      <w:pPr>
        <w:spacing w:after="40"/>
        <w:ind w:left="200"/>
      </w:pPr>
      <w:r>
        <w:rPr>
          <w:rFonts w:ascii="Microsoft YaHei" w:cs="Microsoft YaHei" w:eastAsia="Microsoft YaHei" w:hAnsi="Microsoft YaHei"/>
          <w:b w:val="false"/>
          <w:bCs w:val="false"/>
          <w:i w:val="false"/>
          <w:iCs w:val="false"/>
          <w:color w:val="475569"/>
          <w:sz w:val="20"/>
          <w:szCs w:val="20"/>
        </w:rPr>
        <w:t xml:space="preserve">训练基于深度学习的质量预测模型，输入实时工艺参数与光谱数据，输出关键质量标志物的含量预测值。模型持续从生产数据中自学习，预测精度随运行时间递增，实现从"事后检测"到"事前预测"的质控范式转变。</w:t>
      </w:r>
    </w:p>
    <w:p>
      <w:pPr>
        <w:spacing w:after="40"/>
        <w:ind w:left="200"/>
      </w:pPr>
      <w:r>
        <w:rPr>
          <w:rFonts w:ascii="Microsoft YaHei" w:cs="Microsoft YaHei" w:eastAsia="Microsoft YaHei" w:hAnsi="Microsoft YaHei"/>
          <w:b w:val="false"/>
          <w:bCs w:val="false"/>
          <w:i w:val="false"/>
          <w:iCs w:val="false"/>
          <w:color w:val="475569"/>
          <w:sz w:val="20"/>
          <w:szCs w:val="20"/>
        </w:rPr>
        <w:t xml:space="preserve">汇聚SCADA工艺数据、MES批次数据、LIMS检测数据构建质量大数据平台，每日处理TB级生产数据流。通过关联分析识别"工艺参数-质量标志物"之间的隐性耦合关系，指导工艺优化方向。</w:t>
      </w:r>
    </w:p>
    <w:p>
      <w:pPr>
        <w:spacing w:after="40"/>
        <w:ind w:left="200"/>
      </w:pPr>
      <w:r>
        <w:rPr>
          <w:rFonts w:ascii="Microsoft YaHei" w:cs="Microsoft YaHei" w:eastAsia="Microsoft YaHei" w:hAnsi="Microsoft YaHei"/>
          <w:b w:val="false"/>
          <w:bCs w:val="false"/>
          <w:i w:val="false"/>
          <w:iCs w:val="false"/>
          <w:color w:val="475569"/>
          <w:sz w:val="20"/>
          <w:szCs w:val="20"/>
        </w:rPr>
        <w:t xml:space="preserve">在提取液输送管道和灌装线上部署在线NIR光谱仪，每秒扫描数百次光谱数据，经化学计量学模型解析为质量标志物浓度。替代传统离线取样送检（2-4小时），实现秒级质量状态感知。</w:t>
      </w:r>
    </w:p>
    <w:p>
      <w:pPr>
        <w:spacing w:after="60"/>
      </w:pPr>
      <w:r>
        <w:rPr>
          <w:rFonts w:ascii="Microsoft YaHei" w:cs="Microsoft YaHei" w:eastAsia="Microsoft YaHei" w:hAnsi="Microsoft YaHei"/>
          <w:b w:val="false"/>
          <w:bCs w:val="false"/>
          <w:i w:val="false"/>
          <w:iCs w:val="false"/>
          <w:color w:val="1E293B"/>
          <w:sz w:val="21"/>
          <w:szCs w:val="21"/>
        </w:rPr>
        <w:t xml:space="preserve">关键数据：📊 核心成效：批次间质量偏差缩减33%，质量检测周期从小时级压缩至秒级，不良品提前拦截率达95%以上。</w:t>
      </w:r>
    </w:p>
    <w:p>
      <w:pPr>
        <w:pStyle w:val="Heading3"/>
        <w:spacing w:after="100"/>
      </w:pPr>
      <w:r>
        <w:rPr>
          <w:rFonts w:ascii="Microsoft YaHei" w:cs="Microsoft YaHei" w:eastAsia="Microsoft YaHei" w:hAnsi="Microsoft YaHei"/>
          <w:b/>
          <w:bCs/>
          <w:i w:val="false"/>
          <w:iCs w:val="false"/>
          <w:color w:val="1E293B"/>
          <w:sz w:val="26"/>
          <w:szCs w:val="26"/>
        </w:rPr>
        <w:t xml:space="preserve">③ ③ 传统工艺知识数字化沉淀 核心用例</w:t>
      </w:r>
    </w:p>
    <w:p>
      <w:pPr>
        <w:spacing w:after="80"/>
      </w:pPr>
      <w:r>
        <w:rPr>
          <w:rFonts w:ascii="Microsoft YaHei" w:cs="Microsoft YaHei" w:eastAsia="Microsoft YaHei" w:hAnsi="Microsoft YaHei"/>
          <w:b/>
          <w:bCs/>
          <w:i w:val="false"/>
          <w:iCs w:val="false"/>
          <w:color w:val="DC2626"/>
          <w:sz w:val="22"/>
          <w:szCs w:val="22"/>
        </w:rPr>
        <w:t xml:space="preserve">业务痛点：</w:t>
      </w:r>
      <w:r>
        <w:rPr>
          <w:rFonts w:ascii="Microsoft YaHei" w:cs="Microsoft YaHei" w:eastAsia="Microsoft YaHei" w:hAnsi="Microsoft YaHei"/>
          <w:b w:val="false"/>
          <w:bCs w:val="false"/>
          <w:i w:val="false"/>
          <w:iCs w:val="false"/>
          <w:color w:val="DC2626"/>
          <w:sz w:val="21"/>
          <w:szCs w:val="21"/>
        </w:rPr>
        <w:t xml:space="preserve">⚠️ 痛点：中药生产中的关键隐性知识（如"炒至表面深黄色、具焦香气""文火慢熬至挂旗"等）长期储存在老药工头脑中，随人员退休而流失，新员工培养周期长达3-5年，知识传承断代风险突出。</w:t>
      </w:r>
    </w:p>
    <w:p>
      <w:pPr>
        <w:spacing w:after="80"/>
      </w:pPr>
      <w:r>
        <w:rPr>
          <w:rFonts w:ascii="Microsoft YaHei" w:cs="Microsoft YaHei" w:eastAsia="Microsoft YaHei" w:hAnsi="Microsoft YaHei"/>
          <w:b/>
          <w:bCs/>
          <w:i w:val="false"/>
          <w:iCs w:val="false"/>
          <w:color w:val="1A56DB"/>
          <w:sz w:val="22"/>
          <w:szCs w:val="22"/>
        </w:rPr>
        <w:t xml:space="preserve">解决思路：</w:t>
      </w:r>
      <w:r>
        <w:rPr>
          <w:rFonts w:ascii="Microsoft YaHei" w:cs="Microsoft YaHei" w:eastAsia="Microsoft YaHei" w:hAnsi="Microsoft YaHei"/>
          <w:b w:val="false"/>
          <w:bCs w:val="false"/>
          <w:i w:val="false"/>
          <w:iCs w:val="false"/>
          <w:color w:val="1A56DB"/>
          <w:sz w:val="21"/>
          <w:szCs w:val="21"/>
        </w:rPr>
        <w:t xml:space="preserve">💡 方案：搭建传统工艺知识数字化平台，将隐性经验转化为结构化、可检索、可训练的数字资产，形成"一人一策"的个性化培训体系，并利用知识图谱技术实现工艺知识的智能推理与辅助决策。</w:t>
      </w:r>
    </w:p>
    <w:p>
      <w:pPr>
        <w:spacing w:after="80"/>
      </w:pPr>
      <w:r>
        <w:rPr>
          <w:rFonts w:ascii="Microsoft YaHei" w:cs="Microsoft YaHei" w:eastAsia="Microsoft YaHei" w:hAnsi="Microsoft YaHei"/>
          <w:b/>
          <w:bCs/>
          <w:i w:val="false"/>
          <w:iCs w:val="false"/>
          <w:color w:val="1E293B"/>
          <w:sz w:val="22"/>
          <w:szCs w:val="22"/>
        </w:rPr>
        <w:t xml:space="preserve">实施路径：</w:t>
      </w:r>
      <w:r>
        <w:rPr>
          <w:rFonts w:ascii="Microsoft YaHei" w:cs="Microsoft YaHei" w:eastAsia="Microsoft YaHei" w:hAnsi="Microsoft YaHei"/>
          <w:b w:val="false"/>
          <w:bCs w:val="false"/>
          <w:i w:val="false"/>
          <w:iCs w:val="false"/>
          <w:color w:val="1E293B"/>
          <w:sz w:val="21"/>
          <w:szCs w:val="21"/>
        </w:rPr>
        <w:t xml:space="preserve">Step 1 — 隐性知识显性化：组织老药工"口述实录"，通过结构化访谈、操作录像、传感数据三通道同步记录炒制、提取、浓缩等关键工序的完整操作过程，输出标准操作程序文档。 Step 2 — 知识图谱构建：将采集的工艺知识构建为"原料属性-工艺条件-质量结果"三元组知识图谱，关联500+种中药饮片的炮制规则与工艺参数对应关系。 Step 3 — 数字化培训系统上线：开发基于VR/AR的工艺操作模拟培训系统，新员工在虚拟环境中操练炒制技能，系统实时比对标准操作曲线给出纠正提示。 Step 4 — 智能工艺推荐引擎：当新原料批次或新产品投产时，知识图谱自动检索最相似的工艺方案，推荐初版工艺参数，减少试错轮次。 Step 5 — 人才梯队闭环：建立"知识贡献-技能认证-薪酬激励"联动机制，鼓励一线操作人员持续贡献工艺改善建议，形成组织知识的滚雪球效应。</w:t>
      </w:r>
    </w:p>
    <w:p>
      <w:pPr>
        <w:spacing w:after="60"/>
      </w:pPr>
      <w:r>
        <w:rPr>
          <w:rFonts w:ascii="Microsoft YaHei" w:cs="Microsoft YaHei" w:eastAsia="Microsoft YaHei" w:hAnsi="Microsoft YaHei"/>
          <w:b/>
          <w:bCs/>
          <w:i w:val="false"/>
          <w:iCs w:val="false"/>
          <w:color w:val="1E293B"/>
          <w:sz w:val="22"/>
          <w:szCs w:val="22"/>
        </w:rPr>
        <w:t xml:space="preserve">技术标签：</w:t>
      </w:r>
      <w:r>
        <w:rPr>
          <w:rFonts w:ascii="Microsoft YaHei" w:cs="Microsoft YaHei" w:eastAsia="Microsoft YaHei" w:hAnsi="Microsoft YaHei"/>
          <w:b w:val="false"/>
          <w:bCs w:val="false"/>
          <w:i w:val="false"/>
          <w:iCs w:val="false"/>
          <w:color w:val="0369A1"/>
          <w:sz w:val="21"/>
          <w:szCs w:val="21"/>
        </w:rPr>
        <w:t xml:space="preserve">05.01.03 | 05.01.02 | 05.04.01</w:t>
      </w:r>
    </w:p>
    <w:p>
      <w:pPr>
        <w:spacing w:after="40"/>
        <w:ind w:left="200"/>
      </w:pPr>
      <w:r>
        <w:rPr>
          <w:rFonts w:ascii="Microsoft YaHei" w:cs="Microsoft YaHei" w:eastAsia="Microsoft YaHei" w:hAnsi="Microsoft YaHei"/>
          <w:b w:val="false"/>
          <w:bCs w:val="false"/>
          <w:i w:val="false"/>
          <w:iCs w:val="false"/>
          <w:color w:val="475569"/>
          <w:sz w:val="20"/>
          <w:szCs w:val="20"/>
        </w:rPr>
        <w:t xml:space="preserve">采用RDF三元组模型构建中药工艺知识图谱，节点覆盖原料（500+饮片）、工艺（炒/炙/蒸/煮/煅）、设备、质量指标四大维度。支持SPARQL语义查询和规则推理，当输入新原料属性时，自动推导最优炮制工艺路线。</w:t>
      </w:r>
    </w:p>
    <w:p>
      <w:pPr>
        <w:spacing w:after="40"/>
        <w:ind w:left="200"/>
      </w:pPr>
      <w:r>
        <w:rPr>
          <w:rFonts w:ascii="Microsoft YaHei" w:cs="Microsoft YaHei" w:eastAsia="Microsoft YaHei" w:hAnsi="Microsoft YaHei"/>
          <w:b w:val="false"/>
          <w:bCs w:val="false"/>
          <w:i w:val="false"/>
          <w:iCs w:val="false"/>
          <w:color w:val="475569"/>
          <w:sz w:val="20"/>
          <w:szCs w:val="20"/>
        </w:rPr>
        <w:t xml:space="preserve">基于协同过滤算法构建工艺推荐引擎，将"老药工-原料-工艺参数"映射为"用户-物品-评分"矩阵，实现跨品种工艺参数的迁移学习。新入职操作人员可在系统中查看与该原料最匹配的标准工艺方案。</w:t>
      </w:r>
    </w:p>
    <w:p>
      <w:pPr>
        <w:spacing w:after="40"/>
        <w:ind w:left="200"/>
      </w:pPr>
      <w:r>
        <w:rPr>
          <w:rFonts w:ascii="Microsoft YaHei" w:cs="Microsoft YaHei" w:eastAsia="Microsoft YaHei" w:hAnsi="Microsoft YaHei"/>
          <w:b w:val="false"/>
          <w:bCs w:val="false"/>
          <w:i w:val="false"/>
          <w:iCs w:val="false"/>
          <w:color w:val="475569"/>
          <w:sz w:val="20"/>
          <w:szCs w:val="20"/>
        </w:rPr>
        <w:t xml:space="preserve">构建炒制工序的数字孪生体，实时同步物理产线传感器数据至虚拟模型。新员工在数字孪生环境中操练炒制技能时，系统实时对比其操作曲线与标准模型，精准定位偏差环节，培训效率较传统师徒制提升3倍以上。</w:t>
      </w:r>
    </w:p>
    <w:p>
      <w:pPr>
        <w:spacing w:after="60"/>
      </w:pPr>
      <w:r>
        <w:rPr>
          <w:rFonts w:ascii="Microsoft YaHei" w:cs="Microsoft YaHei" w:eastAsia="Microsoft YaHei" w:hAnsi="Microsoft YaHei"/>
          <w:b w:val="false"/>
          <w:bCs w:val="false"/>
          <w:i w:val="false"/>
          <w:iCs w:val="false"/>
          <w:color w:val="1E293B"/>
          <w:sz w:val="21"/>
          <w:szCs w:val="21"/>
        </w:rPr>
        <w:t xml:space="preserve">关键数据：📊 核心成效：新员工上岗培训周期从3-5年缩短至1年，关键工艺知识流失率降至零，培养了一批高质量复合型中药产业数字化人才。</w:t>
      </w:r>
    </w:p>
    <w:p>
      <w:pPr>
        <w:pStyle w:val="Heading2"/>
        <w:spacing w:after="100"/>
      </w:pPr>
      <w:r>
        <w:rPr>
          <w:rFonts w:ascii="Microsoft YaHei" w:cs="Microsoft YaHei" w:eastAsia="Microsoft YaHei" w:hAnsi="Microsoft YaHei"/>
          <w:b/>
          <w:bCs/>
          <w:i w:val="false"/>
          <w:iCs w:val="false"/>
          <w:color w:val="1A56DB"/>
          <w:sz w:val="30"/>
          <w:szCs w:val="30"/>
        </w:rPr>
        <w:t xml:space="preserve">绩效改善总览</w:t>
      </w:r>
    </w:p>
    <w:tbl>
      <w:tblPr>
        <w:tblW w:type="dxa" w:w="9026"/>
        <w:tblBorders>
          <w:top w:val="single" w:color="auto" w:sz="4"/>
          <w:left w:val="single" w:color="auto" w:sz="4"/>
          <w:bottom w:val="single" w:color="auto" w:sz="4"/>
          <w:right w:val="single" w:color="auto" w:sz="4"/>
          <w:insideH w:val="single" w:color="auto" w:sz="4"/>
          <w:insideV w:val="single" w:color="auto" w:sz="4"/>
        </w:tblBorders>
      </w:tblPr>
      <w:tblGrid>
        <w:gridCol w:w="3000"/>
        <w:gridCol w:w="2000"/>
        <w:gridCol w:w="4026"/>
      </w:tblGrid>
      <w:tr>
        <w:tc>
          <w:tcPr>
            <w:tcW w:type="dxa" w:w="3000"/>
            <w:tcBorders>
              <w:top w:val="single" w:color="CCCCCC" w:sz="1"/>
              <w:left w:val="single" w:color="CCCCCC" w:sz="1"/>
              <w:bottom w:val="single" w:color="CCCCCC" w:sz="1"/>
              <w:right w:val="single" w:color="CCCCCC" w:sz="1"/>
            </w:tcBorders>
            <w:shd w:fill="2E7D32" w:val="clear"/>
            <w:tcMar>
              <w:top w:type="dxa" w:w="60"/>
              <w:left w:type="dxa" w:w="120"/>
              <w:bottom w:type="dxa" w:w="60"/>
              <w:right w:type="dxa" w:w="120"/>
            </w:tcMar>
          </w:tcPr>
          <w:p>
            <w:r>
              <w:rPr>
                <w:rFonts w:ascii="Microsoft YaHei" w:cs="Microsoft YaHei" w:eastAsia="Microsoft YaHei" w:hAnsi="Microsoft YaHei"/>
                <w:b/>
                <w:bCs/>
                <w:color w:val="FFFFFF"/>
                <w:sz w:val="21"/>
                <w:szCs w:val="21"/>
              </w:rPr>
              <w:t xml:space="preserve">指标</w:t>
            </w:r>
          </w:p>
        </w:tc>
        <w:tc>
          <w:tcPr>
            <w:tcW w:type="dxa" w:w="2000"/>
            <w:tcBorders>
              <w:top w:val="single" w:color="CCCCCC" w:sz="1"/>
              <w:left w:val="single" w:color="CCCCCC" w:sz="1"/>
              <w:bottom w:val="single" w:color="CCCCCC" w:sz="1"/>
              <w:right w:val="single" w:color="CCCCCC" w:sz="1"/>
            </w:tcBorders>
            <w:shd w:fill="2E7D32" w:val="clear"/>
            <w:tcMar>
              <w:top w:type="dxa" w:w="60"/>
              <w:left w:type="dxa" w:w="120"/>
              <w:bottom w:type="dxa" w:w="60"/>
              <w:right w:type="dxa" w:w="120"/>
            </w:tcMar>
          </w:tcPr>
          <w:p>
            <w:pPr>
              <w:jc w:val="center"/>
            </w:pPr>
            <w:r>
              <w:rPr>
                <w:rFonts w:ascii="Arial" w:cs="Arial" w:eastAsia="Arial" w:hAnsi="Arial"/>
                <w:b/>
                <w:bCs/>
                <w:color w:val="FFFFFF"/>
                <w:sz w:val="21"/>
                <w:szCs w:val="21"/>
              </w:rPr>
              <w:t xml:space="preserve">改善</w:t>
            </w:r>
          </w:p>
        </w:tc>
        <w:tc>
          <w:tcPr>
            <w:tcW w:type="dxa" w:w="4026"/>
            <w:tcBorders>
              <w:top w:val="single" w:color="CCCCCC" w:sz="1"/>
              <w:left w:val="single" w:color="CCCCCC" w:sz="1"/>
              <w:bottom w:val="single" w:color="CCCCCC" w:sz="1"/>
              <w:right w:val="single" w:color="CCCCCC" w:sz="1"/>
            </w:tcBorders>
            <w:shd w:fill="2E7D32" w:val="clear"/>
            <w:tcMar>
              <w:top w:type="dxa" w:w="60"/>
              <w:left w:type="dxa" w:w="120"/>
              <w:bottom w:type="dxa" w:w="60"/>
              <w:right w:type="dxa" w:w="120"/>
            </w:tcMar>
          </w:tcPr>
          <w:p>
            <w:r>
              <w:rPr>
                <w:rFonts w:ascii="Microsoft YaHei" w:cs="Microsoft YaHei" w:eastAsia="Microsoft YaHei" w:hAnsi="Microsoft YaHei"/>
                <w:b/>
                <w:bCs/>
                <w:color w:val="FFFFFF"/>
                <w:sz w:val="21"/>
                <w:szCs w:val="21"/>
              </w:rPr>
              <w:t xml:space="preserve">技术手段</w:t>
            </w:r>
          </w:p>
        </w:tc>
      </w:tr>
      <w:tr>
        <w:tc>
          <w:tcPr>
            <w:tcW w:type="dxa" w:w="3000"/>
            <w:tcBorders>
              <w:top w:val="single" w:color="CCCCCC" w:sz="1"/>
              <w:left w:val="single" w:color="CCCCCC" w:sz="1"/>
              <w:bottom w:val="single" w:color="CCCCCC" w:sz="1"/>
              <w:right w:val="single" w:color="CCCCCC" w:sz="1"/>
            </w:tcBorders>
            <w:tcMar>
              <w:top w:type="dxa" w:w="60"/>
              <w:left w:type="dxa" w:w="120"/>
              <w:bottom w:type="dxa" w:w="60"/>
              <w:right w:type="dxa" w:w="120"/>
            </w:tcMar>
          </w:tcPr>
          <w:p>
            <w:r>
              <w:rPr>
                <w:rFonts w:ascii="Microsoft YaHei" w:cs="Microsoft YaHei" w:eastAsia="Microsoft YaHei" w:hAnsi="Microsoft YaHei"/>
                <w:b w:val="false"/>
                <w:bCs w:val="false"/>
                <w:color w:val="1E293B"/>
                <w:sz w:val="21"/>
                <w:szCs w:val="21"/>
              </w:rPr>
              <w:t xml:space="preserve">批次间质量偏差</w:t>
            </w:r>
          </w:p>
        </w:tc>
        <w:tc>
          <w:tcPr>
            <w:tcW w:type="dxa" w:w="2000"/>
            <w:tcBorders>
              <w:top w:val="single" w:color="CCCCCC" w:sz="1"/>
              <w:left w:val="single" w:color="CCCCCC" w:sz="1"/>
              <w:bottom w:val="single" w:color="CCCCCC" w:sz="1"/>
              <w:right w:val="single" w:color="CCCCCC" w:sz="1"/>
            </w:tcBorders>
            <w:tcMar>
              <w:top w:type="dxa" w:w="60"/>
              <w:left w:type="dxa" w:w="120"/>
              <w:bottom w:type="dxa" w:w="60"/>
              <w:right w:type="dxa" w:w="120"/>
            </w:tcMar>
          </w:tcPr>
          <w:p>
            <w:pPr>
              <w:jc w:val="center"/>
            </w:pPr>
            <w:r>
              <w:rPr>
                <w:rFonts w:ascii="Arial" w:cs="Arial" w:eastAsia="Arial" w:hAnsi="Arial"/>
                <w:b/>
                <w:bCs/>
                <w:color w:val="2E7D32"/>
                <w:sz w:val="24"/>
                <w:szCs w:val="24"/>
              </w:rPr>
              <w:t xml:space="preserve">↓33%</w:t>
            </w:r>
          </w:p>
        </w:tc>
        <w:tc>
          <w:tcPr>
            <w:tcW w:type="dxa" w:w="4026"/>
            <w:tcBorders>
              <w:top w:val="single" w:color="CCCCCC" w:sz="1"/>
              <w:left w:val="single" w:color="CCCCCC" w:sz="1"/>
              <w:bottom w:val="single" w:color="CCCCCC" w:sz="1"/>
              <w:right w:val="single" w:color="CCCCCC" w:sz="1"/>
            </w:tcBorders>
            <w:tcMar>
              <w:top w:type="dxa" w:w="60"/>
              <w:left w:type="dxa" w:w="120"/>
              <w:bottom w:type="dxa" w:w="60"/>
              <w:right w:type="dxa" w:w="120"/>
            </w:tcMar>
          </w:tcPr>
          <w:p>
            <w:r>
              <w:rPr>
                <w:rFonts w:ascii="Microsoft YaHei" w:cs="Microsoft YaHei" w:eastAsia="Microsoft YaHei" w:hAnsi="Microsoft YaHei"/>
                <w:b w:val="false"/>
                <w:bCs w:val="false"/>
                <w:color w:val="64748B"/>
                <w:sz w:val="20"/>
                <w:szCs w:val="20"/>
              </w:rPr>
              <w:t xml:space="preserve">质量标志物实时监测替代事后抽样，杜绝批次放行争议</w:t>
            </w:r>
          </w:p>
        </w:tc>
      </w:tr>
      <w:tr>
        <w:tc>
          <w:tcPr>
            <w:tcW w:type="dxa" w:w="3000"/>
            <w:tcBorders>
              <w:top w:val="single" w:color="CCCCCC" w:sz="1"/>
              <w:left w:val="single" w:color="CCCCCC" w:sz="1"/>
              <w:bottom w:val="single" w:color="CCCCCC" w:sz="1"/>
              <w:right w:val="single" w:color="CCCCCC" w:sz="1"/>
            </w:tcBorders>
            <w:tcMar>
              <w:top w:type="dxa" w:w="60"/>
              <w:left w:type="dxa" w:w="120"/>
              <w:bottom w:type="dxa" w:w="60"/>
              <w:right w:type="dxa" w:w="120"/>
            </w:tcMar>
          </w:tcPr>
          <w:p>
            <w:r>
              <w:rPr>
                <w:rFonts w:ascii="Microsoft YaHei" w:cs="Microsoft YaHei" w:eastAsia="Microsoft YaHei" w:hAnsi="Microsoft YaHei"/>
                <w:b w:val="false"/>
                <w:bCs w:val="false"/>
                <w:color w:val="1E293B"/>
                <w:sz w:val="21"/>
                <w:szCs w:val="21"/>
              </w:rPr>
              <w:t xml:space="preserve">设备综合效率 OEE</w:t>
            </w:r>
          </w:p>
        </w:tc>
        <w:tc>
          <w:tcPr>
            <w:tcW w:type="dxa" w:w="2000"/>
            <w:tcBorders>
              <w:top w:val="single" w:color="CCCCCC" w:sz="1"/>
              <w:left w:val="single" w:color="CCCCCC" w:sz="1"/>
              <w:bottom w:val="single" w:color="CCCCCC" w:sz="1"/>
              <w:right w:val="single" w:color="CCCCCC" w:sz="1"/>
            </w:tcBorders>
            <w:tcMar>
              <w:top w:type="dxa" w:w="60"/>
              <w:left w:type="dxa" w:w="120"/>
              <w:bottom w:type="dxa" w:w="60"/>
              <w:right w:type="dxa" w:w="120"/>
            </w:tcMar>
          </w:tcPr>
          <w:p>
            <w:pPr>
              <w:jc w:val="center"/>
            </w:pPr>
            <w:r>
              <w:rPr>
                <w:rFonts w:ascii="Arial" w:cs="Arial" w:eastAsia="Arial" w:hAnsi="Arial"/>
                <w:b/>
                <w:bCs/>
                <w:color w:val="2E7D32"/>
                <w:sz w:val="24"/>
                <w:szCs w:val="24"/>
              </w:rPr>
              <w:t xml:space="preserve">↑13%</w:t>
            </w:r>
          </w:p>
        </w:tc>
        <w:tc>
          <w:tcPr>
            <w:tcW w:type="dxa" w:w="4026"/>
            <w:tcBorders>
              <w:top w:val="single" w:color="CCCCCC" w:sz="1"/>
              <w:left w:val="single" w:color="CCCCCC" w:sz="1"/>
              <w:bottom w:val="single" w:color="CCCCCC" w:sz="1"/>
              <w:right w:val="single" w:color="CCCCCC" w:sz="1"/>
            </w:tcBorders>
            <w:tcMar>
              <w:top w:type="dxa" w:w="60"/>
              <w:left w:type="dxa" w:w="120"/>
              <w:bottom w:type="dxa" w:w="60"/>
              <w:right w:type="dxa" w:w="120"/>
            </w:tcMar>
          </w:tcPr>
          <w:p>
            <w:r>
              <w:rPr>
                <w:rFonts w:ascii="Microsoft YaHei" w:cs="Microsoft YaHei" w:eastAsia="Microsoft YaHei" w:hAnsi="Microsoft YaHei"/>
                <w:b w:val="false"/>
                <w:bCs w:val="false"/>
                <w:color w:val="64748B"/>
                <w:sz w:val="20"/>
                <w:szCs w:val="20"/>
              </w:rPr>
              <w:t xml:space="preserve">中央控制室远程调度1200台设备，减少停机待料与换线等待</w:t>
            </w:r>
          </w:p>
        </w:tc>
      </w:tr>
      <w:tr>
        <w:tc>
          <w:tcPr>
            <w:tcW w:type="dxa" w:w="3000"/>
            <w:tcBorders>
              <w:top w:val="single" w:color="CCCCCC" w:sz="1"/>
              <w:left w:val="single" w:color="CCCCCC" w:sz="1"/>
              <w:bottom w:val="single" w:color="CCCCCC" w:sz="1"/>
              <w:right w:val="single" w:color="CCCCCC" w:sz="1"/>
            </w:tcBorders>
            <w:tcMar>
              <w:top w:type="dxa" w:w="60"/>
              <w:left w:type="dxa" w:w="120"/>
              <w:bottom w:type="dxa" w:w="60"/>
              <w:right w:type="dxa" w:w="120"/>
            </w:tcMar>
          </w:tcPr>
          <w:p>
            <w:r>
              <w:rPr>
                <w:rFonts w:ascii="Microsoft YaHei" w:cs="Microsoft YaHei" w:eastAsia="Microsoft YaHei" w:hAnsi="Microsoft YaHei"/>
                <w:b w:val="false"/>
                <w:bCs w:val="false"/>
                <w:color w:val="1E293B"/>
                <w:sz w:val="21"/>
                <w:szCs w:val="21"/>
              </w:rPr>
              <w:t xml:space="preserve">生产成本</w:t>
            </w:r>
          </w:p>
        </w:tc>
        <w:tc>
          <w:tcPr>
            <w:tcW w:type="dxa" w:w="2000"/>
            <w:tcBorders>
              <w:top w:val="single" w:color="CCCCCC" w:sz="1"/>
              <w:left w:val="single" w:color="CCCCCC" w:sz="1"/>
              <w:bottom w:val="single" w:color="CCCCCC" w:sz="1"/>
              <w:right w:val="single" w:color="CCCCCC" w:sz="1"/>
            </w:tcBorders>
            <w:tcMar>
              <w:top w:type="dxa" w:w="60"/>
              <w:left w:type="dxa" w:w="120"/>
              <w:bottom w:type="dxa" w:w="60"/>
              <w:right w:type="dxa" w:w="120"/>
            </w:tcMar>
          </w:tcPr>
          <w:p>
            <w:pPr>
              <w:jc w:val="center"/>
            </w:pPr>
            <w:r>
              <w:rPr>
                <w:rFonts w:ascii="Arial" w:cs="Arial" w:eastAsia="Arial" w:hAnsi="Arial"/>
                <w:b/>
                <w:bCs/>
                <w:color w:val="2E7D32"/>
                <w:sz w:val="24"/>
                <w:szCs w:val="24"/>
              </w:rPr>
              <w:t xml:space="preserve">↓10%</w:t>
            </w:r>
          </w:p>
        </w:tc>
        <w:tc>
          <w:tcPr>
            <w:tcW w:type="dxa" w:w="4026"/>
            <w:tcBorders>
              <w:top w:val="single" w:color="CCCCCC" w:sz="1"/>
              <w:left w:val="single" w:color="CCCCCC" w:sz="1"/>
              <w:bottom w:val="single" w:color="CCCCCC" w:sz="1"/>
              <w:right w:val="single" w:color="CCCCCC" w:sz="1"/>
            </w:tcBorders>
            <w:tcMar>
              <w:top w:type="dxa" w:w="60"/>
              <w:left w:type="dxa" w:w="120"/>
              <w:bottom w:type="dxa" w:w="60"/>
              <w:right w:type="dxa" w:w="120"/>
            </w:tcMar>
          </w:tcPr>
          <w:p>
            <w:r>
              <w:rPr>
                <w:rFonts w:ascii="Microsoft YaHei" w:cs="Microsoft YaHei" w:eastAsia="Microsoft YaHei" w:hAnsi="Microsoft YaHei"/>
                <w:b w:val="false"/>
                <w:bCs w:val="false"/>
                <w:color w:val="64748B"/>
                <w:sz w:val="20"/>
                <w:szCs w:val="20"/>
              </w:rPr>
              <w:t xml:space="preserve">能耗降低、返工减少、原料利用率提升三管齐下</w:t>
            </w:r>
          </w:p>
        </w:tc>
      </w:tr>
      <w:tr>
        <w:tc>
          <w:tcPr>
            <w:tcW w:type="dxa" w:w="3000"/>
            <w:tcBorders>
              <w:top w:val="single" w:color="CCCCCC" w:sz="1"/>
              <w:left w:val="single" w:color="CCCCCC" w:sz="1"/>
              <w:bottom w:val="single" w:color="CCCCCC" w:sz="1"/>
              <w:right w:val="single" w:color="CCCCCC" w:sz="1"/>
            </w:tcBorders>
            <w:tcMar>
              <w:top w:type="dxa" w:w="60"/>
              <w:left w:type="dxa" w:w="120"/>
              <w:bottom w:type="dxa" w:w="60"/>
              <w:right w:type="dxa" w:w="120"/>
            </w:tcMar>
          </w:tcPr>
          <w:p>
            <w:r>
              <w:rPr>
                <w:rFonts w:ascii="Microsoft YaHei" w:cs="Microsoft YaHei" w:eastAsia="Microsoft YaHei" w:hAnsi="Microsoft YaHei"/>
                <w:b w:val="false"/>
                <w:bCs w:val="false"/>
                <w:color w:val="1E293B"/>
                <w:sz w:val="21"/>
                <w:szCs w:val="21"/>
              </w:rPr>
              <w:t xml:space="preserve">隐性经验传承</w:t>
            </w:r>
          </w:p>
        </w:tc>
        <w:tc>
          <w:tcPr>
            <w:tcW w:type="dxa" w:w="2000"/>
            <w:tcBorders>
              <w:top w:val="single" w:color="CCCCCC" w:sz="1"/>
              <w:left w:val="single" w:color="CCCCCC" w:sz="1"/>
              <w:bottom w:val="single" w:color="CCCCCC" w:sz="1"/>
              <w:right w:val="single" w:color="CCCCCC" w:sz="1"/>
            </w:tcBorders>
            <w:tcMar>
              <w:top w:type="dxa" w:w="60"/>
              <w:left w:type="dxa" w:w="120"/>
              <w:bottom w:type="dxa" w:w="60"/>
              <w:right w:type="dxa" w:w="120"/>
            </w:tcMar>
          </w:tcPr>
          <w:p>
            <w:pPr>
              <w:jc w:val="center"/>
            </w:pPr>
            <w:r>
              <w:rPr>
                <w:rFonts w:ascii="Arial" w:cs="Arial" w:eastAsia="Arial" w:hAnsi="Arial"/>
                <w:b/>
                <w:bCs/>
                <w:color w:val="2E7D32"/>
                <w:sz w:val="24"/>
                <w:szCs w:val="24"/>
              </w:rPr>
              <w:t xml:space="preserve">数字化沉淀</w:t>
            </w:r>
          </w:p>
        </w:tc>
        <w:tc>
          <w:tcPr>
            <w:tcW w:type="dxa" w:w="4026"/>
            <w:tcBorders>
              <w:top w:val="single" w:color="CCCCCC" w:sz="1"/>
              <w:left w:val="single" w:color="CCCCCC" w:sz="1"/>
              <w:bottom w:val="single" w:color="CCCCCC" w:sz="1"/>
              <w:right w:val="single" w:color="CCCCCC" w:sz="1"/>
            </w:tcBorders>
            <w:tcMar>
              <w:top w:type="dxa" w:w="60"/>
              <w:left w:type="dxa" w:w="120"/>
              <w:bottom w:type="dxa" w:w="60"/>
              <w:right w:type="dxa" w:w="120"/>
            </w:tcMar>
          </w:tcPr>
          <w:p>
            <w:r>
              <w:rPr>
                <w:rFonts w:ascii="Microsoft YaHei" w:cs="Microsoft YaHei" w:eastAsia="Microsoft YaHei" w:hAnsi="Microsoft YaHei"/>
                <w:b w:val="false"/>
                <w:bCs w:val="false"/>
                <w:color w:val="64748B"/>
                <w:sz w:val="20"/>
                <w:szCs w:val="20"/>
              </w:rPr>
              <w:t xml:space="preserve">30多项核心技术诀窍完成数字化，新员工培养周期缩短60%</w:t>
            </w:r>
          </w:p>
        </w:tc>
      </w:tr>
    </w:tbl>
    <w:p>
      <w:pPr>
        <w:spacing w:after="100"/>
      </w:pPr>
    </w:p>
    <w:p>
      <w:pPr>
        <w:spacing w:after="100"/>
      </w:pPr>
    </w:p>
    <w:p>
      <w:pPr>
        <w:pStyle w:val="Heading2"/>
        <w:spacing w:after="100"/>
      </w:pPr>
      <w:r>
        <w:rPr>
          <w:rFonts w:ascii="Microsoft YaHei" w:cs="Microsoft YaHei" w:eastAsia="Microsoft YaHei" w:hAnsi="Microsoft YaHei"/>
          <w:b/>
          <w:bCs/>
          <w:i w:val="false"/>
          <w:iCs w:val="false"/>
          <w:color w:val="1A56DB"/>
          <w:sz w:val="30"/>
          <w:szCs w:val="30"/>
        </w:rPr>
        <w:t xml:space="preserve">可复制性分析</w:t>
      </w:r>
    </w:p>
    <w:p>
      <w:pPr>
        <w:spacing w:after="80"/>
      </w:pPr>
      <w:r>
        <w:rPr>
          <w:rFonts w:ascii="Microsoft YaHei" w:cs="Microsoft YaHei" w:eastAsia="Microsoft YaHei" w:hAnsi="Microsoft YaHei"/>
          <w:b w:val="false"/>
          <w:bCs w:val="false"/>
          <w:i w:val="false"/>
          <w:iCs w:val="false"/>
          <w:color w:val="1E293B"/>
          <w:sz w:val="21"/>
          <w:szCs w:val="21"/>
        </w:rPr>
        <w:t xml:space="preserve">🏢 企业规模 国药集团旗下大型中药生产基地，糖浆剂年产能1亿瓶，口服液年产能30亿支，12条全自动灌装线+15条全自动包装线 💰 投入规模 亿元级，涵盖太极医药城A区（口服液制剂）和B区（中药前处理提取）两大基地的智能化改造 ⏱️ 实施周期 3-5年，分阶段推进：自动化基础→数字化贯通→智能化升级 🎯 关键技术门槛 中药质量标志物（Q-Marker）筛选与建模需药学科研能力；工艺知识图谱构建需领域专家深度参与 👉 适合什么企业参考 有GMP合规要求的中成药生产企业，尤其是拥有多品种、多年历史工艺积淀的老牌中药企业；年营收10亿以上、具备一定自动化基础的企业可对标其"数字化炒制→质量标志物→知识沉淀"三阶段路径</w:t>
      </w:r>
    </w:p>
    <w:p>
      <w:pPr>
        <w:pStyle w:val="Heading2"/>
        <w:spacing w:after="100"/>
      </w:pPr>
      <w:r>
        <w:rPr>
          <w:rFonts w:ascii="Microsoft YaHei" w:cs="Microsoft YaHei" w:eastAsia="Microsoft YaHei" w:hAnsi="Microsoft YaHei"/>
          <w:b/>
          <w:bCs/>
          <w:i w:val="false"/>
          <w:iCs w:val="false"/>
          <w:color w:val="1A56DB"/>
          <w:sz w:val="30"/>
          <w:szCs w:val="30"/>
        </w:rPr>
        <w:t xml:space="preserve">技术全景图</w:t>
      </w:r>
    </w:p>
    <w:p>
      <w:pPr>
        <w:spacing w:after="80"/>
      </w:pPr>
      <w:r>
        <w:rPr>
          <w:rFonts w:ascii="Microsoft YaHei" w:cs="Microsoft YaHei" w:eastAsia="Microsoft YaHei" w:hAnsi="Microsoft YaHei"/>
          <w:b w:val="false"/>
          <w:bCs w:val="false"/>
          <w:i w:val="false"/>
          <w:iCs w:val="false"/>
          <w:color w:val="1E293B"/>
          <w:sz w:val="21"/>
          <w:szCs w:val="21"/>
        </w:rPr>
        <w:t xml:space="preserve">🗺️ 技术全景图 01 智能装备 ✔️ 02 工业软件 ✔️ 03 智能工厂 ✔️ 04 智慧供应链 · 05 智能赋能技术 ✔️ 06 智能制造新模式 ✔️ 07 工业网络 ✔️ 08 系统安全 ✔️ 09 绿色可持续 ✔️ 已覆盖（8/9） 未涉及 WEF重点技术覆盖率：78%</w:t>
      </w:r>
    </w:p>
    <w:p>
      <w:pPr>
        <w:pStyle w:val="Heading2"/>
        <w:spacing w:after="100"/>
      </w:pPr>
      <w:r>
        <w:rPr>
          <w:rFonts w:ascii="Microsoft YaHei" w:cs="Microsoft YaHei" w:eastAsia="Microsoft YaHei" w:hAnsi="Microsoft YaHei"/>
          <w:b/>
          <w:bCs/>
          <w:i w:val="false"/>
          <w:iCs w:val="false"/>
          <w:color w:val="1A56DB"/>
          <w:sz w:val="30"/>
          <w:szCs w:val="30"/>
        </w:rPr>
        <w:t xml:space="preserve">行业对标</w:t>
      </w:r>
    </w:p>
    <w:p>
      <w:pPr>
        <w:spacing w:after="80"/>
      </w:pPr>
      <w:r>
        <w:rPr>
          <w:rFonts w:ascii="Microsoft YaHei" w:cs="Microsoft YaHei" w:eastAsia="Microsoft YaHei" w:hAnsi="Microsoft YaHei"/>
          <w:b w:val="false"/>
          <w:bCs w:val="false"/>
          <w:i w:val="false"/>
          <w:iCs w:val="false"/>
          <w:color w:val="1E293B"/>
          <w:sz w:val="21"/>
          <w:szCs w:val="21"/>
        </w:rPr>
        <w:t xml:space="preserve">🏭 行业对标视角 国标分类路径：C制造业 → 27医药制造业 → 2740中成药制造 📌 全球首座中药工业灯塔工厂，填补了中药领域在WEF灯塔网络中的空白。与同批次其他灯塔工厂相比，其最大差异化优势在于将"传统经验"这一最难标准化的生产要素成功数字化，为全球传统工艺密集型产业的数智化转型提供了独特范本。 🏭 太极集团涪陵制药厂 25616CN10 · 第16批 罗克韦尔自动化新加坡 25516SG09 · 第16批 华润三九（观澜基地） 同行业 · 已获评灯塔 强生（Janssen） 医药制造 · 国际对标 💡 经验可编码，传承可计算 —— 太极集团的实践证明：中药制造中最难复制的"老师傅手感"可以通过IoT传感+AI建模转化为可量化的数字标准。这一范式不仅适用于中药，对所有依赖师徒传承的传统工艺制造业（酿造、陶瓷、茶叶等）都具有开创性参考价值。</w:t>
      </w:r>
    </w:p>
    <w:p>
      <w:pPr>
        <w:pStyle w:val="Heading2"/>
        <w:spacing w:after="100"/>
      </w:pPr>
      <w:r>
        <w:rPr>
          <w:rFonts w:ascii="Microsoft YaHei" w:cs="Microsoft YaHei" w:eastAsia="Microsoft YaHei" w:hAnsi="Microsoft YaHei"/>
          <w:b/>
          <w:bCs/>
          <w:i w:val="false"/>
          <w:iCs w:val="false"/>
          <w:color w:val="1A56DB"/>
          <w:sz w:val="30"/>
          <w:szCs w:val="30"/>
        </w:rPr>
        <w:t xml:space="preserve">互动</w:t>
      </w:r>
    </w:p>
    <w:p>
      <w:pPr>
        <w:spacing w:after="80"/>
      </w:pPr>
      <w:r>
        <w:rPr>
          <w:rFonts w:ascii="Microsoft YaHei" w:cs="Microsoft YaHei" w:eastAsia="Microsoft YaHei" w:hAnsi="Microsoft YaHei"/>
          <w:b w:val="false"/>
          <w:bCs w:val="false"/>
          <w:i w:val="false"/>
          <w:iCs w:val="false"/>
          <w:color w:val="1E293B"/>
          <w:sz w:val="21"/>
          <w:szCs w:val="21"/>
        </w:rPr>
        <w:t xml:space="preserve">💬 互动 您所在的企业是否也面临工艺经验传承断代的挑战？传统"老师傅"的隐性知识，您觉得应该如何最高效地转化为数字化资产？ 👇 欢迎在评论区分享你的经验与困惑 📊 灯塔名录 回复【名录】获取完整名单 🔍 灯塔案例 回复【分析+企业名】 🦞 灯塔虾评 回复【自测】评估差距</w:t>
      </w:r>
    </w:p>
    <w:p>
      <w:pPr>
        <w:spacing w:after="80"/>
      </w:pPr>
      <w:r>
        <w:rPr>
          <w:rFonts w:ascii="Microsoft YaHei" w:cs="Microsoft YaHei" w:eastAsia="Microsoft YaHei" w:hAnsi="Microsoft YaHei"/>
          <w:b w:val="false"/>
          <w:bCs w:val="false"/>
          <w:i w:val="false"/>
          <w:iCs w:val="false"/>
          <w:color w:val="64748B"/>
          <w:sz w:val="21"/>
          <w:szCs w:val="21"/>
        </w:rPr>
        <w:t xml:space="preserve">📥 下载此案例（多种格式） 🌐 网页 📽️ 幻灯片 📊 PPTX 📄 DOCX 🗂️ JSON 📝 MD 📋 CSV</w:t>
      </w:r>
    </w:p>
    <w:p>
      <w:pPr>
        <w:spacing w:after="60" w:before="100"/>
        <w:jc w:val="center"/>
      </w:pPr>
      <w:r>
        <w:rPr>
          <w:rFonts w:ascii="Microsoft YaHei" w:cs="Microsoft YaHei" w:eastAsia="Microsoft YaHei" w:hAnsi="Microsoft YaHei"/>
          <w:b w:val="false"/>
          <w:bCs w:val="false"/>
          <w:i w:val="false"/>
          <w:iCs w:val="false"/>
          <w:color w:val="94A3B8"/>
          <w:sz w:val="18"/>
          <w:szCs w:val="18"/>
        </w:rPr>
        <w:t xml:space="preserve">❤️ 点「在看」，让更多同行看到 数据来源：WEF全球灯塔网络第16批官方公告、国药太极官方新闻稿、中新网/新华网2026年6月23日报道 老陈说灯塔 · 每周一个灯塔工厂深度拆解</w:t>
      </w:r>
    </w:p>
    <w:p>
      <w:pPr>
        <w:spacing w:after="100"/>
      </w:pPr>
    </w:p>
    <w:p>
      <w:pPr>
        <w:spacing w:after="60" w:before="200"/>
        <w:jc w:val="center"/>
      </w:pPr>
      <w:r>
        <w:rPr>
          <w:rFonts w:ascii="Microsoft YaHei" w:cs="Microsoft YaHei" w:eastAsia="Microsoft YaHei" w:hAnsi="Microsoft YaHei"/>
          <w:b w:val="false"/>
          <w:bCs w:val="false"/>
          <w:i w:val="false"/>
          <w:iCs w:val="false"/>
          <w:color w:val="94A3B8"/>
          <w:sz w:val="18"/>
          <w:szCs w:val="18"/>
        </w:rPr>
        <w:t xml:space="preserve">数据来源：世界经济论坛（WEF）全球灯塔网络 · 公开报道</w:t>
      </w:r>
    </w:p>
    <w:p>
      <w:pPr>
        <w:spacing w:after="100"/>
        <w:jc w:val="center"/>
      </w:pPr>
      <w:r>
        <w:rPr>
          <w:rFonts w:ascii="Microsoft YaHei" w:cs="Microsoft YaHei" w:eastAsia="Microsoft YaHei" w:hAnsi="Microsoft YaHei"/>
          <w:b w:val="false"/>
          <w:bCs w:val="false"/>
          <w:i w:val="false"/>
          <w:iCs w:val="false"/>
          <w:color w:val="94A3B8"/>
          <w:sz w:val="18"/>
          <w:szCs w:val="18"/>
        </w:rPr>
        <w:t xml:space="preserve">老陈说灯塔 · 每周一个灯塔工厂深度拆解</w:t>
      </w:r>
    </w:p>
    <w:sectPr>
      <w:pgSz w:w="11906" w:h="16838" w:orient="portrait"/>
      <w:pgMar w:top="1134"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Microsoft YaHei" w:cs="Microsoft YaHei" w:eastAsia="Microsoft YaHei" w:hAnsi="Microsoft YaHei"/>
        <w:sz w:val="22"/>
        <w:szCs w:val="22"/>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 w:type="paragraph" w:styleId="Normal">
    <w:name w:val="Normal"/>
    <w:rPr>
      <w:rFonts w:ascii="Microsoft YaHei" w:cs="Microsoft YaHei" w:eastAsia="Microsoft YaHei" w:hAnsi="Microsoft YaHei"/>
      <w:sz w:val="22"/>
      <w:szCs w:val="22"/>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2026-06-29T12:15:32.323Z</dcterms:created>
  <dcterms:modified xsi:type="dcterms:W3CDTF">2026-06-29T12:15:32.328Z</dcterms:modified>
</cp:coreProperties>
</file>

<file path=docProps/custom.xml><?xml version="1.0" encoding="utf-8"?>
<Properties xmlns="http://schemas.openxmlformats.org/officeDocument/2006/custom-properties" xmlns:vt="http://schemas.openxmlformats.org/officeDocument/2006/docPropsVTypes"/>
</file>