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80" w:after="240"/>
        <w:jc w:val="center"/>
      </w:pPr>
      <w:r>
        <w:rPr>
          <w:rFonts w:ascii="微软雅黑" w:hAnsi="微软雅黑" w:eastAsia="微软雅黑"/>
          <w:b/>
          <w:color w:val="1A3C6D"/>
          <w:sz w:val="36"/>
        </w:rPr>
        <w:t>2万台机器人进厂、自研芯片2000TOPS：比亚迪给制造业上了一课</w:t>
      </w:r>
    </w:p>
    <w:p>
      <w:pPr>
        <w:spacing w:after="360"/>
        <w:jc w:val="center"/>
      </w:pPr>
      <w:r>
        <w:rPr>
          <w:rFonts w:ascii="微软雅黑" w:hAnsi="微软雅黑" w:eastAsia="微软雅黑"/>
          <w:color w:val="999999"/>
          <w:sz w:val="20"/>
        </w:rPr>
        <w:t>老陈说灯塔 | 2026年6月1日</w:t>
      </w:r>
    </w:p>
    <w:p>
      <w:pPr>
        <w:spacing w:line="360" w:lineRule="auto" w:after="120"/>
      </w:pPr>
      <w:r>
        <w:rPr>
          <w:rFonts w:ascii="微软雅黑" w:hAnsi="微软雅黑" w:eastAsia="微软雅黑"/>
          <w:color w:val="333333"/>
          <w:sz w:val="22"/>
        </w:rPr>
        <w:t>今天的朋友圈被比亚迪刷屏了。不是因为车，是因为机器人。150台人形机器人已经在深圳坪山和长沙工厂干活了——搬运、贴标、巡检，三班倒不带停。综合效率达到人工的80%，而比亚迪说2026年要在内部铺到2万台。2万台是什么概念？目前全球工业人形机器人部署加起来都没到这个数。同一天，施耐德电气拿出了灯塔工厂AI落地的「三重突围」方法论，智博会闭幕抛出三大趋势，宇树科技42亿IPO上会在即。今天这一波信息密度太高了，我帮你捋清楚——制造业到底在发生什么，你该怎么看。</w:t>
      </w:r>
    </w:p>
    <w:p>
      <w:pPr>
        <w:spacing w:before="240" w:after="240"/>
        <w:jc w:val="center"/>
      </w:pPr>
      <w:r>
        <w:rPr>
          <w:rFonts w:ascii="微软雅黑" w:hAnsi="微软雅黑" w:eastAsia="微软雅黑"/>
          <w:color w:val="CCCCCC"/>
          <w:sz w:val="22"/>
        </w:rPr>
        <w:t>— — —</w:t>
      </w:r>
    </w:p>
    <w:p>
      <w:r>
        <w:rPr>
          <w:rFonts w:ascii="微软雅黑" w:hAnsi="微软雅黑" w:eastAsia="微软雅黑"/>
          <w:b/>
          <w:color w:val="1A3C6D"/>
          <w:sz w:val="24"/>
        </w:rPr>
        <w:t>⚡ 双视角速览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513"/>
        <w:gridCol w:w="4513"/>
      </w:tblGrid>
      <w:tr>
        <w:tc>
          <w:tcPr>
            <w:tcW w:type="dxa" w:w="850"/>
            <w:shd w:fill="E8F4FD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D"/>
                <w:sz w:val="20"/>
              </w:rPr>
              <w:t>👷</w:t>
              <w:br/>
              <w:t>落地视角</w:t>
            </w:r>
          </w:p>
        </w:tc>
        <w:tc>
          <w:tcPr>
            <w:tcW w:type="dxa" w:w="8220"/>
            <w:shd w:fill="E8F4FD"/>
          </w:tcPr>
          <w:p>
            <w:r>
              <w:rPr>
                <w:rFonts w:ascii="微软雅黑" w:hAnsi="微软雅黑" w:eastAsia="微软雅黑"/>
                <w:color w:val="333333"/>
                <w:sz w:val="20"/>
              </w:rPr>
              <w:t>人形机器人进厂不再是PPT——比亚迪150台「尧舜禹」第七代机已实战，效率达人工80%。2026年计划部署2万台，单台成本压至20万以内。施耐德给出灯塔工厂AI落地三个硬指标：行业特色、投资回报、技术融合，缺一不可。北京经开区灯塔工厂5G专网覆盖率99.5%，「断网不断产」，值得抄作业。</w:t>
            </w:r>
          </w:p>
        </w:tc>
      </w:tr>
      <w:tr>
        <w:tc>
          <w:tcPr>
            <w:tcW w:type="dxa" w:w="850"/>
            <w:shd w:fill="E8F4FD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D"/>
                <w:sz w:val="20"/>
              </w:rPr>
              <w:t>💻</w:t>
              <w:br/>
              <w:t>技术视角</w:t>
            </w:r>
          </w:p>
        </w:tc>
        <w:tc>
          <w:tcPr>
            <w:tcW w:type="dxa" w:w="8220"/>
            <w:shd w:fill="E8F4FD"/>
          </w:tcPr>
          <w:p>
            <w:r>
              <w:rPr>
                <w:rFonts w:ascii="微软雅黑" w:hAnsi="微软雅黑" w:eastAsia="微软雅黑"/>
                <w:color w:val="333333"/>
                <w:sz w:val="20"/>
              </w:rPr>
              <w:t>比亚迪璇玑自研芯片单颗2000TOPS，车规级传感器和智驾算法直接平移至机器人，核心部件自研率超80%，RV减速器成本比进口低60%。施耐德「三步建设法」强调精益是AI成功基础且正向供应链扩展。科大讯飞iFlyBot-VLM/VLA双模型已覆盖全国超90%机器人厂商，具身智能从「功夫演示」转向「工作模式」。</w:t>
            </w:r>
          </w:p>
        </w:tc>
      </w:tr>
    </w:tbl>
    <w:p>
      <w:pPr>
        <w:spacing w:after="120"/>
      </w:pPr>
    </w:p>
    <w:p>
      <w:pPr>
        <w:spacing w:before="240" w:after="240"/>
        <w:jc w:val="center"/>
      </w:pPr>
      <w:r>
        <w:rPr>
          <w:rFonts w:ascii="微软雅黑" w:hAnsi="微软雅黑" w:eastAsia="微软雅黑"/>
          <w:color w:val="CCCCCC"/>
          <w:sz w:val="22"/>
        </w:rPr>
        <w:t>— — —</w:t>
      </w:r>
    </w:p>
    <w:p>
      <w:pPr>
        <w:spacing w:before="280" w:after="120"/>
      </w:pPr>
      <w:r>
        <w:rPr>
          <w:rFonts w:ascii="微软雅黑" w:hAnsi="微软雅黑" w:eastAsia="微软雅黑"/>
          <w:b/>
          <w:color w:val="1A3C6D"/>
          <w:sz w:val="24"/>
        </w:rPr>
        <w:t>一、人形机器人真的进厂了，而且不是一家在干</w:t>
      </w:r>
    </w:p>
    <w:p>
      <w:pPr>
        <w:spacing w:line="360" w:lineRule="auto" w:after="120"/>
      </w:pPr>
      <w:r>
        <w:rPr>
          <w:rFonts w:ascii="微软雅黑" w:hAnsi="微软雅黑" w:eastAsia="微软雅黑"/>
          <w:color w:val="333333"/>
          <w:sz w:val="22"/>
        </w:rPr>
        <w:t>先说最炸裂的。比亚迪执行副总裁李柯首次公开确认「尧舜禹」人形机器人项目——第七代原型机约150台已经在深圳坪山和长沙两大工厂上岗，干的都是搬运、贴标、巡检这种高强度重复劳动。综合效率达到人工的80%，这个数字很关键。它意味着人形机器人在真实工厂场景中，已经从一个「能走两步」的demo，变成了一个「能干活」的生产力工具。</w:t>
        <w:br/>
        <w:br/>
        <w:t>更夸张的是目标：2026年内部部署2万台。如果按期实现，这个数字将远超当前全球工业人形机器人部署量的总和。比亚迪不是说说而已——他们已经把商业化路径想得很清楚：「先内用再外扩」，目标单价压到20万元以内。</w:t>
        <w:br/>
        <w:br/>
        <w:t>技术底座也很有意思。比亚迪没有另起炉灶，而是走了一条「汽车技术平移」的路子：刀片电池直接用于机器人，续航超8小时，换电只需3分钟；智能驾驶算法和车规级传感器直接赋能机器人，环境识别精度达到±0.03mm。核心部件自研率超过80%，自研RV减速器和伺服电机成本比进口低60%。</w:t>
        <w:br/>
        <w:br/>
        <w:t>同一天，讯飞也放了大招。讯飞机器人超脑平台已经覆盖500余家智能机器人厂商，国内超过90%的机器人厂商在用他们的服务。发布了iFlyBot-VLM（具身基础模型）和iFlyBot-VLA（技能操作模型）两个模型，全资子公司聆动通用更是拿下了全国首个工业级具身智能机器人CR认证。</w:t>
        <w:br/>
        <w:br/>
        <w:t>还有个大事：5月31日，宇树科技科创板IPO上会，拟募资42亿元，被称为「人形机器人第一股」。2026年前5个月，国内具身智能领域投资已经达到577亿元。</w:t>
        <w:br/>
        <w:br/>
        <w:t>三件事放在一起看，信号非常明确：人形机器人产业正在从「技术验证」跑步进入「资本化量产」，比亚迪、讯飞、宇树三路兵马，分别从制造端、AI大脑端和通用产品端同时发起冲锋。这个赛道，已经不是「要不要关注」的问题，而是「什么时候进场」的问题。</w:t>
      </w:r>
    </w:p>
    <w:p>
      <w:pPr>
        <w:spacing w:before="280" w:after="120"/>
      </w:pPr>
      <w:r>
        <w:rPr>
          <w:rFonts w:ascii="微软雅黑" w:hAnsi="微软雅黑" w:eastAsia="微软雅黑"/>
          <w:b/>
          <w:color w:val="1A3C6D"/>
          <w:sz w:val="24"/>
        </w:rPr>
        <w:t>二、灯塔工厂AI落地，施耐德给了一套「三重突围」方法论</w:t>
      </w:r>
    </w:p>
    <w:p>
      <w:pPr>
        <w:spacing w:line="360" w:lineRule="auto" w:after="120"/>
      </w:pPr>
      <w:r>
        <w:rPr>
          <w:rFonts w:ascii="微软雅黑" w:hAnsi="微软雅黑" w:eastAsia="微软雅黑"/>
          <w:color w:val="333333"/>
          <w:sz w:val="22"/>
        </w:rPr>
        <w:t>人形机器人是硬件的狂欢，但AI在工厂里到底该怎么落地？施耐德电气绿色智能制造咨询总监王鑫给了一个非常务实的框架。</w:t>
        <w:br/>
        <w:br/>
        <w:t>他提出灯塔工厂AI落地的「三重突围」：第一，行业特色突围——你的AI场景必须解决行业级的真问题，能代表这个行业的最高水平，不是随便搞个视觉检测就叫AI了。第二，投资回报突围——确保投资回报周期在企业可接受范围内，一分钱不能白花。第三，技术融合突围——AI等工业4.0技术必须和工艺制程深度融合，不能是两张皮。</w:t>
        <w:br/>
        <w:br/>
        <w:t>施耐德自己就是这么干的。以AI团队牵头，集成生态伙伴把AI算法嵌入啤酒工业制程，采集检测、汇聚分析、预测调优一条龙，结果物料节约20%、效率提升15%。目前施耐德在全球运营7家灯塔工厂，其中3家是可持续灯塔，中国拥有19家零碳工厂。</w:t>
        <w:br/>
        <w:br/>
        <w:t>他还给出了一套「三步建设法」：规划阶段重在AI与行业痛点的场景设计，建设阶段强调精益化是成功基础且正向供应链扩展，申报阶段顺势完成。特别值得关注的是，精益正在向两个方向延伸——「供应链扩展」和「精益数字化创新」。而且施耐德已经连续两年位居Gartner全球供应链25强榜首，这个背书够硬。</w:t>
      </w:r>
    </w:p>
    <w:p>
      <w:pPr>
        <w:spacing w:before="280" w:after="120"/>
      </w:pPr>
      <w:r>
        <w:rPr>
          <w:rFonts w:ascii="微软雅黑" w:hAnsi="微软雅黑" w:eastAsia="微软雅黑"/>
          <w:b/>
          <w:color w:val="1A3C6D"/>
          <w:sz w:val="24"/>
        </w:rPr>
        <w:t>三、精益是AI的基石——闭门会上院士们说的实话</w:t>
      </w:r>
    </w:p>
    <w:p>
      <w:pPr>
        <w:spacing w:line="360" w:lineRule="auto" w:after="120"/>
      </w:pPr>
      <w:r>
        <w:rPr>
          <w:rFonts w:ascii="微软雅黑" w:hAnsi="微软雅黑" w:eastAsia="微软雅黑"/>
          <w:color w:val="333333"/>
          <w:sz w:val="22"/>
        </w:rPr>
        <w:t>智博会同期有一场闭门研讨会，名字叫「精益赋能·智能跃迁」，中国工程院院士阮汝祥、国机集团首席专家朱恺真、中核集团总经理助理孟琰彬、南钢AI首席郭金等150多位嘉宾参会。</w:t>
        <w:br/>
        <w:br/>
        <w:t>阮汝祥院士说了句大实话：「精益是智能制造的基石，智能跃迁是精益管理的升华。」爱波瑞首席架构师周文浩更直接：「精益的下限决定了AI的上限。」</w:t>
        <w:br/>
        <w:br/>
        <w:t>这话什么意思？别一上来就追AI大模型，先把精益基础打牢。数据不准、流程不通、标准没有，AI上去也白搭。领航级工厂的核心要求是60%以上场景融合AI技术，但前提是你的基础场景先跑通了。</w:t>
        <w:br/>
        <w:br/>
        <w:t>会上达成的圆桌共识很有意思：硬性技术重构+软性组织激活，必须双轮驱动。爱波瑞还推出了一个叫「精益AI应用师」的新岗位，由工信部人才交流中心联合认证。搞精益的人要懂AI，搞AI的人要懂精益，这个交叉人才缺口会越来越大。</w:t>
        <w:br/>
        <w:br/>
        <w:t>我翻译一下：如果你正在推进智能工厂，先别着急买大模型，先把精益做透。看板准不准？设备OEE达标吗？标准工时靠谱吗？这些基础不牢，AI就是在沙子上盖楼。</w:t>
      </w:r>
    </w:p>
    <w:p>
      <w:pPr>
        <w:spacing w:before="280" w:after="120"/>
      </w:pPr>
      <w:r>
        <w:rPr>
          <w:rFonts w:ascii="微软雅黑" w:hAnsi="微软雅黑" w:eastAsia="微软雅黑"/>
          <w:b/>
          <w:color w:val="1A3C6D"/>
          <w:sz w:val="24"/>
        </w:rPr>
        <w:t>四、5G专网99.5%覆盖，工厂网络这件事终于有人交答卷了</w:t>
      </w:r>
    </w:p>
    <w:p>
      <w:pPr>
        <w:spacing w:line="360" w:lineRule="auto" w:after="120"/>
      </w:pPr>
      <w:r>
        <w:rPr>
          <w:rFonts w:ascii="微软雅黑" w:hAnsi="微软雅黑" w:eastAsia="微软雅黑"/>
          <w:color w:val="333333"/>
          <w:sz w:val="22"/>
        </w:rPr>
        <w:t>北京移动在北京经开区一家新能源配件灯塔工厂部署了5G专网，覆盖率达到99.5%，这个数字已经达到了运营商级水平，但它是在一个工厂园区内实现的。</w:t>
        <w:br/>
        <w:br/>
        <w:t>架构设计很巧妙，叫「下沉风筝型」——UPF用户面功能从远端运营商机房直接迁移到厂区内部，数据不出园区就完成转发处理。为不同品牌的运输车划分独立通信信道，几十台AGV可以同步作业，还能扩展到上百台。最狠的是：核心网中断时，系统会自动切换本地应急控制面，实现「断网不断产」。</w:t>
        <w:br/>
        <w:br/>
        <w:t>这对工厂意味着什么？过去用Wi-Fi，不同品牌运输车的驱动差异会导致动作延迟和路径偏移，现在5G专网把指令响应提速到毫秒级。工人也不用在中控室和工位之间「折返跑」查数据了，配上5G工业平板电脑，实时在线操作，4K高清远程专家连线，AR远程故障指导全都跑得动。</w:t>
        <w:br/>
        <w:br/>
        <w:t>如果你的工厂也在考虑网络升级，这个案例值得仔细研究。5G专网已经从「有没有」进化到了「好不好用」。</w:t>
      </w:r>
    </w:p>
    <w:p>
      <w:pPr>
        <w:spacing w:before="280" w:after="120"/>
      </w:pPr>
      <w:r>
        <w:rPr>
          <w:rFonts w:ascii="微软雅黑" w:hAnsi="微软雅黑" w:eastAsia="微软雅黑"/>
          <w:b/>
          <w:color w:val="1A3C6D"/>
          <w:sz w:val="24"/>
        </w:rPr>
        <w:t>五、智博会闭幕+IMC大会前瞻：AI+制造进入体系化新阶段</w:t>
      </w:r>
    </w:p>
    <w:p>
      <w:pPr>
        <w:spacing w:line="360" w:lineRule="auto" w:after="120"/>
      </w:pPr>
      <w:r>
        <w:rPr>
          <w:rFonts w:ascii="微软雅黑" w:hAnsi="微软雅黑" w:eastAsia="微软雅黑"/>
          <w:color w:val="333333"/>
          <w:sz w:val="22"/>
        </w:rPr>
        <w:t>2026世界智能产业博览会在天津闭幕了，700余家企业参展，85个项目签约落地。新华社总结了三大新趋势，每个都跟制造业直接相关。</w:t>
        <w:br/>
        <w:br/>
        <w:t>趋势一：2026年是具身智能规模化应用元年。智博会首次为具身智能独立设馆，80余家企业展出了上百种机器人整机。预测2030年中国市场规模达4000亿元，2035年突破1万亿元。</w:t>
        <w:br/>
        <w:br/>
        <w:t>趋势二：「AI+」进入体系化布局、规模化应用新时期。从科学智能向工业、能源、交通等行业渗透。中科院副院长吴朝晖的判断是：AI+已经从战略起航到场景落地，正在打造智能经济新形态。</w:t>
        <w:br/>
        <w:br/>
        <w:t>趋势三：算力从科研向应用「落地生金」。天津智算规模已经超过10000P。中科曙光展出的万卡超集群，搭载10240张AI加速卡，适配400余个全球主流大模型。天士力基于AI驱动工艺模型实现每秒1300粒滴丸生产，天津港PortGPT大模型让AI「读懂」港口工况替代人工盯屏。</w:t>
        <w:br/>
        <w:br/>
        <w:t>一个值得标记的日期：6月12日，IMC 2026第十届中国智造数字科技大会将在北京举行，定向邀请200+制造业决策者，设有工业大模型与智能体落地、智能工厂下一代架构、数据要素与AI安全治理等四大分论坛。如果你是制造业IT从业者，免费参会——这种白嫖学习的机会不多。</w:t>
      </w:r>
    </w:p>
    <w:p>
      <w:pPr>
        <w:spacing w:before="240" w:after="240"/>
        <w:jc w:val="center"/>
      </w:pPr>
      <w:r>
        <w:rPr>
          <w:rFonts w:ascii="微软雅黑" w:hAnsi="微软雅黑" w:eastAsia="微软雅黑"/>
          <w:color w:val="CCCCCC"/>
          <w:sz w:val="22"/>
        </w:rPr>
        <w:t>— — —</w:t>
      </w:r>
    </w:p>
    <w:p>
      <w:pPr>
        <w:spacing w:before="280" w:after="120"/>
      </w:pPr>
      <w:r>
        <w:rPr>
          <w:rFonts w:ascii="微软雅黑" w:hAnsi="微软雅黑" w:eastAsia="微软雅黑"/>
          <w:b/>
          <w:color w:val="1A3C6D"/>
          <w:sz w:val="24"/>
        </w:rPr>
        <w:t>📌 三句话总结</w:t>
      </w:r>
    </w:p>
    <w:p>
      <w:pPr>
        <w:spacing w:line="360" w:lineRule="auto" w:after="120"/>
      </w:pPr>
      <w:r>
        <w:rPr>
          <w:rFonts w:ascii="微软雅黑" w:hAnsi="微软雅黑" w:eastAsia="微软雅黑"/>
          <w:color w:val="333333"/>
          <w:sz w:val="22"/>
        </w:rPr>
        <w:t>今天的三件事帮你划重点：第一，人形机器人进厂不是概念验证，比亚迪150台在产线上干活，2026年可能铺到2万台——这个信号比任何报告都有说服力。第二，施耐德三重突围方法论和院士们的「精益是AI基石」共识说明，AI落地不能靠追风口，要按行业特色、投资回报、技术融合三个维度来检验。第三，5G专网、算力基建、政策标准正在形成合力，制造业的AI基础设施正在肉眼可见地完善。</w:t>
        <w:br/>
        <w:br/>
        <w:t>风已经来了。问题是，你的工厂准备好了吗？</w:t>
      </w:r>
    </w:p>
    <w:p>
      <w:pPr>
        <w:spacing w:before="240" w:after="240"/>
        <w:jc w:val="center"/>
      </w:pPr>
      <w:r>
        <w:rPr>
          <w:rFonts w:ascii="微软雅黑" w:hAnsi="微软雅黑" w:eastAsia="微软雅黑"/>
          <w:color w:val="CCCCCC"/>
          <w:sz w:val="22"/>
        </w:rPr>
        <w:t>— — —</w:t>
      </w:r>
    </w:p>
    <w:p>
      <w:pPr>
        <w:spacing w:before="280" w:after="120"/>
      </w:pPr>
      <w:r>
        <w:rPr>
          <w:rFonts w:ascii="微软雅黑" w:hAnsi="微软雅黑" w:eastAsia="微软雅黑"/>
          <w:b/>
          <w:color w:val="1A3C6D"/>
          <w:sz w:val="24"/>
        </w:rPr>
        <w:t>💬 聊两句</w:t>
      </w:r>
    </w:p>
    <w:p>
      <w:pPr>
        <w:spacing w:line="360" w:lineRule="auto" w:after="120"/>
      </w:pPr>
      <w:r>
        <w:rPr>
          <w:rFonts w:ascii="微软雅黑" w:hAnsi="微软雅黑" w:eastAsia="微软雅黑"/>
          <w:color w:val="333333"/>
          <w:sz w:val="22"/>
        </w:rPr>
        <w:t>比亚迪说2万台机器人在路上，施耐德说灯塔工厂AI落地得看三重突围。你们工厂现在处于哪个阶段——还在观望、正在试点、还是已经有机器人/AI在产线上跑起来了？来评论区聊聊。</w:t>
      </w:r>
    </w:p>
    <w:p>
      <w:pPr>
        <w:spacing w:before="240" w:after="240"/>
        <w:jc w:val="center"/>
      </w:pPr>
      <w:r>
        <w:rPr>
          <w:rFonts w:ascii="微软雅黑" w:hAnsi="微软雅黑" w:eastAsia="微软雅黑"/>
          <w:color w:val="CCCCCC"/>
          <w:sz w:val="22"/>
        </w:rPr>
        <w:t>— — —</w:t>
      </w:r>
    </w:p>
    <w:p>
      <w:pPr>
        <w:spacing w:before="120"/>
      </w:pPr>
      <w:r>
        <w:rPr>
          <w:rFonts w:ascii="微软雅黑" w:hAnsi="微软雅黑" w:eastAsia="微软雅黑"/>
          <w:b/>
          <w:color w:val="1A3C6D"/>
          <w:sz w:val="26"/>
        </w:rPr>
        <w:t>🛠️ 灯塔工具箱</w:t>
      </w:r>
    </w:p>
    <w:p>
      <w:pPr>
        <w:spacing w:before="80" w:after="40"/>
      </w:pPr>
      <w:r>
        <w:rPr>
          <w:rFonts w:ascii="微软雅黑" w:hAnsi="微软雅黑" w:eastAsia="微软雅黑"/>
          <w:b/>
          <w:color w:val="1A3C6D"/>
          <w:sz w:val="22"/>
        </w:rPr>
        <w:t xml:space="preserve">📊 灯塔名录  </w:t>
      </w:r>
      <w:r>
        <w:rPr>
          <w:rFonts w:ascii="微软雅黑" w:hAnsi="微软雅黑" w:eastAsia="微软雅黑"/>
          <w:color w:val="D4380D"/>
          <w:sz w:val="20"/>
        </w:rPr>
        <w:t>回复【名录】</w:t>
      </w:r>
    </w:p>
    <w:p>
      <w:r>
        <w:rPr>
          <w:rFonts w:ascii="微软雅黑" w:hAnsi="微软雅黑" w:eastAsia="微软雅黑"/>
          <w:color w:val="999999"/>
          <w:sz w:val="18"/>
        </w:rPr>
        <w:t>适用场景：撰写申报材料 / 行业对标分析 / 内部汇报数据支撑</w:t>
      </w:r>
    </w:p>
    <w:p>
      <w:pPr>
        <w:spacing w:before="80" w:after="40"/>
      </w:pPr>
      <w:r>
        <w:rPr>
          <w:rFonts w:ascii="微软雅黑" w:hAnsi="微软雅黑" w:eastAsia="微软雅黑"/>
          <w:b/>
          <w:color w:val="1A3C6D"/>
          <w:sz w:val="22"/>
        </w:rPr>
        <w:t xml:space="preserve">🔍 灯塔案例  </w:t>
      </w:r>
      <w:r>
        <w:rPr>
          <w:rFonts w:ascii="微软雅黑" w:hAnsi="微软雅黑" w:eastAsia="微软雅黑"/>
          <w:color w:val="D4380D"/>
          <w:sz w:val="20"/>
        </w:rPr>
        <w:t>回复【分析+企业名】</w:t>
      </w:r>
    </w:p>
    <w:p>
      <w:r>
        <w:rPr>
          <w:rFonts w:ascii="微软雅黑" w:hAnsi="微软雅黑" w:eastAsia="微软雅黑"/>
          <w:color w:val="999999"/>
          <w:sz w:val="18"/>
        </w:rPr>
        <w:t>适用场景：标杆考察前预习 / 方案编写参考 / 技术路线选型</w:t>
      </w:r>
    </w:p>
    <w:p>
      <w:pPr>
        <w:spacing w:before="80" w:after="40"/>
      </w:pPr>
      <w:r>
        <w:rPr>
          <w:rFonts w:ascii="微软雅黑" w:hAnsi="微软雅黑" w:eastAsia="微软雅黑"/>
          <w:b/>
          <w:color w:val="1A3C6D"/>
          <w:sz w:val="22"/>
        </w:rPr>
        <w:t xml:space="preserve">🦞 灯塔虾评  </w:t>
      </w:r>
      <w:r>
        <w:rPr>
          <w:rFonts w:ascii="微软雅黑" w:hAnsi="微软雅黑" w:eastAsia="微软雅黑"/>
          <w:color w:val="D4380D"/>
          <w:sz w:val="20"/>
        </w:rPr>
        <w:t>回复【自测】</w:t>
      </w:r>
    </w:p>
    <w:p>
      <w:r>
        <w:rPr>
          <w:rFonts w:ascii="微软雅黑" w:hAnsi="微软雅黑" w:eastAsia="微软雅黑"/>
          <w:color w:val="999999"/>
          <w:sz w:val="18"/>
        </w:rPr>
        <w:t>适用场景：自我定位摸底 / 规划前差距分析 / 团队内部对齐认知</w:t>
      </w:r>
    </w:p>
    <w:p>
      <w:pPr>
        <w:spacing w:before="240" w:after="240"/>
        <w:jc w:val="center"/>
      </w:pPr>
      <w:r>
        <w:rPr>
          <w:rFonts w:ascii="微软雅黑" w:hAnsi="微软雅黑" w:eastAsia="微软雅黑"/>
          <w:color w:val="CCCCCC"/>
          <w:sz w:val="22"/>
        </w:rPr>
        <w:t>— — —</w:t>
      </w:r>
    </w:p>
    <w:p>
      <w:pPr>
        <w:jc w:val="center"/>
      </w:pPr>
      <w:r>
        <w:rPr>
          <w:rFonts w:ascii="微软雅黑" w:hAnsi="微软雅黑" w:eastAsia="微软雅黑"/>
          <w:color w:val="999999"/>
          <w:sz w:val="20"/>
        </w:rPr>
        <w:t>☕ 如果今天的内容对你有帮助，欢迎赞赏支持持续产出</w:t>
      </w:r>
    </w:p>
    <w:p>
      <w:pPr>
        <w:jc w:val="center"/>
      </w:pPr>
      <w:r>
        <w:rPr>
          <w:rFonts w:ascii="微软雅黑" w:hAnsi="微软雅黑" w:eastAsia="微软雅黑"/>
          <w:color w:val="999999"/>
          <w:sz w:val="20"/>
        </w:rPr>
        <w:t>💚 点「在看」，让更多同行看到</w:t>
      </w:r>
    </w:p>
    <w:p>
      <w:pPr>
        <w:spacing w:before="240" w:after="240"/>
        <w:jc w:val="center"/>
      </w:pPr>
      <w:r>
        <w:rPr>
          <w:rFonts w:ascii="微软雅黑" w:hAnsi="微软雅黑" w:eastAsia="微软雅黑"/>
          <w:color w:val="CCCCCC"/>
          <w:sz w:val="22"/>
        </w:rPr>
        <w:t>— — —</w:t>
      </w:r>
    </w:p>
    <w:p>
      <w:pPr>
        <w:jc w:val="center"/>
      </w:pPr>
      <w:r>
        <w:rPr>
          <w:rFonts w:ascii="微软雅黑" w:hAnsi="微软雅黑" w:eastAsia="微软雅黑"/>
          <w:color w:val="BBBBBB"/>
          <w:sz w:val="18"/>
        </w:rPr>
        <w:t>📡 灯塔工厂日报 · 大国智造布道者</w:t>
      </w:r>
    </w:p>
    <w:p>
      <w:pPr>
        <w:jc w:val="center"/>
      </w:pPr>
      <w:r>
        <w:rPr>
          <w:rFonts w:ascii="微软雅黑" w:hAnsi="微软雅黑" w:eastAsia="微软雅黑"/>
          <w:color w:val="CCCCCC"/>
          <w:sz w:val="16"/>
        </w:rPr>
        <w:t>沪ICP备2026015109号 | 沪公网安备 31011702891477号</w:t>
      </w:r>
    </w:p>
    <w:sectPr w:rsidR="00FC693F" w:rsidRPr="0006063C" w:rsidSect="0003461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120"/>
    </w:pPr>
    <w:rPr>
      <w:rFonts w:ascii="微软雅黑" w:hAnsi="微软雅黑" w:eastAsia="微软雅黑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