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206"/>
      </w:tblGrid>
      <w:tr>
        <w:tc>
          <w:tcPr>
            <w:tcW w:type="dxa" w:w="10206"/>
            <w:shd w:fill="1A1A2E" w:val="clear"/>
            <w:tcBorders>
              <w:top w:val="nil"/>
              <w:bottom w:val="nil"/>
              <w:left w:val="nil"/>
              <w:right w:val="nil"/>
            </w:tcBorders>
          </w:tcPr>
          <w:p/>
          <w:tbl>
            <w:tblPr>
              <w:tblW w:type="auto" w:w="0"/>
              <w:jc w:val="left"/>
              <w:tblLook w:firstColumn="1" w:firstRow="1" w:lastColumn="0" w:lastRow="0" w:noHBand="0" w:noVBand="1" w:val="04A0"/>
            </w:tblPr>
            <w:tblGrid>
              <w:gridCol w:w="5103"/>
              <w:gridCol w:w="5103"/>
            </w:tblGrid>
            <w:tr>
              <w:tc>
                <w:tcPr>
                  <w:tcW w:type="dxa" w:w="5103"/>
                  <w:tcBorders>
                    <w:top w:val="nil"/>
                    <w:bottom w:val="nil"/>
                    <w:left w:val="nil"/>
                    <w:right w:val="nil"/>
                  </w:tcBorders>
                </w:tcPr>
                <w:p>
                  <w:pPr>
                    <w:jc w:val="left"/>
                    <w:shd w:val="clear" w:fill="1A1A2E"/>
                  </w:pPr>
                  <w:r>
                    <w:rPr>
                      <w:rFonts w:ascii="Microsoft YaHei" w:hAnsi="Microsoft YaHei" w:eastAsia="Microsoft YaHei"/>
                      <w:b/>
                      <w:i w:val="0"/>
                      <w:color w:val="90CAF9"/>
                      <w:sz w:val="18"/>
                      <w:szCs w:val="18"/>
                    </w:rPr>
                    <w:t>🇨🇳 大国智造 · 灯塔引领</w:t>
                  </w:r>
                </w:p>
              </w:tc>
              <w:tc>
                <w:tcPr>
                  <w:tcW w:type="dxa" w:w="5103"/>
                  <w:tcBorders>
                    <w:top w:val="nil"/>
                    <w:bottom w:val="nil"/>
                    <w:left w:val="nil"/>
                    <w:right w:val="nil"/>
                  </w:tcBorders>
                </w:tcPr>
                <w:p>
                  <w:pPr>
                    <w:jc w:val="right"/>
                    <w:shd w:val="clear" w:fill="1A1A2E"/>
                  </w:pPr>
                  <w:r>
                    <w:rPr>
                      <w:rFonts w:ascii="Microsoft YaHei" w:hAnsi="Microsoft YaHei" w:eastAsia="Microsoft YaHei"/>
                      <w:b w:val="0"/>
                      <w:i w:val="0"/>
                      <w:color w:val="90CAF9"/>
                      <w:sz w:val="18"/>
                      <w:szCs w:val="18"/>
                    </w:rPr>
                    <w:t>2026年06月03日 星期三</w:t>
                  </w:r>
                </w:p>
              </w:tc>
            </w:tr>
          </w:tbl>
          <w:p/>
          <w:p>
            <w:pPr>
              <w:spacing w:before="80"/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FFFFFF"/>
                <w:sz w:val="52"/>
                <w:szCs w:val="52"/>
              </w:rPr>
              <w:t>🏭 灯塔工厂日报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AAB5"/>
                <w:sz w:val="24"/>
                <w:szCs w:val="24"/>
              </w:rPr>
              <w:t>追踪全球灯塔动态 · 见证中国智造崛起</w:t>
            </w:r>
          </w:p>
          <w:tbl>
            <w:tblPr>
              <w:tblW w:type="auto" w:w="0"/>
              <w:jc w:val="center"/>
              <w:tblLook w:firstColumn="1" w:firstRow="1" w:lastColumn="0" w:lastRow="0" w:noHBand="0" w:noVBand="1" w:val="04A0"/>
            </w:tblPr>
            <w:tblGrid>
              <w:gridCol w:w="10206"/>
            </w:tblGrid>
            <w:tr>
              <w:tc>
                <w:tcPr>
                  <w:tcW w:type="dxa" w:w="4535"/>
                  <w:shd w:fill="252A3E" w:val="clear"/>
                  <w:tcBorders>
                    <w:top w:val="nil"/>
                    <w:bottom w:val="nil"/>
                    <w:left w:val="nil"/>
                    <w:right w:val="nil"/>
                  </w:tcBorders>
                </w:tcPr>
                <w:p>
                  <w:pPr>
                    <w:spacing w:before="80" w:after="80"/>
                    <w:jc w:val="center"/>
                    <w:shd w:val="clear" w:fill="252A3E"/>
                  </w:pPr>
                  <w:r>
                    <w:rPr>
                      <w:rFonts w:ascii="Microsoft YaHei" w:hAnsi="Microsoft YaHei" w:eastAsia="Microsoft YaHei"/>
                      <w:b w:val="0"/>
                      <w:i w:val="0"/>
                      <w:color w:val="CCCCDD"/>
                      <w:sz w:val="20"/>
                      <w:szCs w:val="20"/>
                    </w:rPr>
                    <w:t>📌 卡奥斯首发工业智能体集群、WOD制造业数博会今日上海开幕、山东首批13市AI+制造培育名单敲定、北京启动先进级智能工厂申报</w:t>
                  </w:r>
                </w:p>
              </w:tc>
            </w:tr>
          </w:tbl>
          <w:p/>
          <w:p/>
          <w:p>
            <w:pPr>
              <w:spacing w:before="0" w:after="0"/>
              <w:pBdr>
                <w:top w:val="single" w:sz="3" w:color="0D47A1" w:space="0"/>
                <w:bottom w:val="single" w:sz="3" w:color="0D47A1" w:space="0"/>
              </w:pBdr>
            </w:pPr>
          </w:p>
          <w:p>
            <w:pPr>
              <w:spacing w:before="0" w:after="0"/>
              <w:pBdr>
                <w:bottom w:val="single" w:sz="3" w:color="1976D2" w:space="0"/>
              </w:pBdr>
            </w:pPr>
          </w:p>
          <w:p>
            <w:pPr>
              <w:spacing w:before="0" w:after="0"/>
              <w:pBdr>
                <w:bottom w:val="single" w:sz="3" w:color="42A5F5" w:space="0"/>
              </w:pBdr>
            </w:pPr>
          </w:p>
          <w:p>
            <w:pPr>
              <w:spacing w:before="0" w:after="0"/>
              <w:pBdr>
                <w:bottom w:val="single" w:sz="3" w:color="90CAF9" w:space="0"/>
              </w:pBdr>
            </w:pP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041"/>
        <w:gridCol w:w="2041"/>
        <w:gridCol w:w="2041"/>
        <w:gridCol w:w="2041"/>
        <w:gridCol w:w="2041"/>
      </w:tblGrid>
      <w:tr>
        <w:tc>
          <w:tcPr>
            <w:tcW w:type="dxa" w:w="2041"/>
            <w:shd w:fill="FAFBFC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1A1A2E"/>
                <w:sz w:val="32"/>
                <w:szCs w:val="32"/>
              </w:rPr>
              <w:t>8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9999"/>
                <w:sz w:val="18"/>
                <w:szCs w:val="18"/>
              </w:rPr>
              <w:t>今日新闻总数</w:t>
            </w:r>
          </w:p>
        </w:tc>
        <w:tc>
          <w:tcPr>
            <w:tcW w:type="dxa" w:w="2041"/>
            <w:shd w:fill="FAFBFC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1A1A2E"/>
                <w:sz w:val="32"/>
                <w:szCs w:val="32"/>
              </w:rPr>
              <w:t>1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9999"/>
                <w:sz w:val="18"/>
                <w:szCs w:val="18"/>
              </w:rPr>
              <w:t>灯塔工厂企业</w:t>
            </w:r>
          </w:p>
        </w:tc>
        <w:tc>
          <w:tcPr>
            <w:tcW w:type="dxa" w:w="2041"/>
            <w:shd w:fill="FAFBFC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1A1A2E"/>
                <w:sz w:val="32"/>
                <w:szCs w:val="32"/>
              </w:rPr>
              <w:t>1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9999"/>
                <w:sz w:val="18"/>
                <w:szCs w:val="18"/>
              </w:rPr>
              <w:t>重点央企</w:t>
            </w:r>
          </w:p>
        </w:tc>
        <w:tc>
          <w:tcPr>
            <w:tcW w:type="dxa" w:w="2041"/>
            <w:shd w:fill="FAFBFC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1A1A2E"/>
                <w:sz w:val="32"/>
                <w:szCs w:val="32"/>
              </w:rPr>
              <w:t>1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9999"/>
                <w:sz w:val="18"/>
                <w:szCs w:val="18"/>
              </w:rPr>
              <w:t>制造业500强</w:t>
            </w:r>
          </w:p>
        </w:tc>
        <w:tc>
          <w:tcPr>
            <w:tcW w:type="dxa" w:w="2041"/>
            <w:shd w:fill="FAFBFC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1A1A2E"/>
                <w:sz w:val="32"/>
                <w:szCs w:val="32"/>
              </w:rPr>
              <w:t>2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9999"/>
                <w:sz w:val="18"/>
                <w:szCs w:val="18"/>
              </w:rPr>
              <w:t>政策/标准</w:t>
            </w:r>
          </w:p>
        </w:tc>
      </w:tr>
    </w:tbl>
    <w:p/>
    <w:p>
      <w:r>
        <w:rPr>
          <w:rFonts w:ascii="Microsoft YaHei" w:hAnsi="Microsoft YaHei" w:eastAsia="Microsoft YaHei"/>
          <w:b/>
          <w:i w:val="0"/>
          <w:color w:val="1A1A2E"/>
          <w:sz w:val="30"/>
          <w:szCs w:val="30"/>
        </w:rPr>
        <w:t>📌 今日要览</w:t>
      </w:r>
    </w:p>
    <w:p>
      <w:pPr>
        <w:shd w:val="clear" w:fill="F8F9FF"/>
        <w:spacing w:after="160"/>
      </w:pPr>
      <w:r>
        <w:rPr>
          <w:rFonts w:ascii="Microsoft YaHei" w:hAnsi="Microsoft YaHei" w:eastAsia="Microsoft YaHei"/>
          <w:b w:val="0"/>
          <w:i w:val="0"/>
          <w:color w:val="555555"/>
          <w:sz w:val="22"/>
          <w:szCs w:val="22"/>
        </w:rPr>
        <w:t>今日上海迎来WOD制造业数智化博览会与SIA智能工厂展双展同开，Festo携AI预测性维护+全栈数智化解决方案重磅亮相（6/3-5）。卡奥斯COSMOPlat在合肥首发工业智能体集群，以"数字人+多智能体协同"新模式打通工业AI闭环。英伟达Computex 2026宣布Vera Rubin平台全面投产，全球350+工厂加速生产。政策层面，北京启动2026年先进级智能工厂申报（CMMM二级以上）、山东发布首批13市"AI+制造"培育名单（公示至6/4）。AI智能体领域，BCS 2026发布领航者榜单，100+企业覆盖20+行业。今日9条新闻中，3条涉及AI智能体落地、2条涉及政策梯度培育。</w:t>
      </w:r>
    </w:p>
    <w:p>
      <w:pPr>
        <w:pBdr>
          <w:bottom w:val="single" w:sz="4" w:color="1A1A2E" w:space="1"/>
        </w:pBdr>
      </w:pPr>
    </w:p>
    <w:p>
      <w:r>
        <w:rPr>
          <w:rFonts w:ascii="Microsoft YaHei" w:hAnsi="Microsoft YaHei" w:eastAsia="Microsoft YaHei"/>
          <w:b/>
          <w:i w:val="0"/>
          <w:color w:val="1A1A2E"/>
          <w:sz w:val="32"/>
          <w:szCs w:val="32"/>
        </w:rPr>
        <w:t>📰 今日新闻（8条）</w:t>
      </w:r>
    </w:p>
    <w:p>
      <w:pPr>
        <w:spacing w:before="200"/>
      </w:pPr>
      <w:r>
        <w:rPr>
          <w:rFonts w:ascii="Microsoft YaHei" w:hAnsi="Microsoft YaHei" w:eastAsia="Microsoft YaHei"/>
          <w:b/>
          <w:i w:val="0"/>
          <w:color w:val="1565C0"/>
          <w:sz w:val="26"/>
          <w:szCs w:val="26"/>
        </w:rPr>
        <w:t xml:space="preserve">1. </w:t>
      </w:r>
      <w:r>
        <w:rPr>
          <w:rFonts w:ascii="Microsoft YaHei" w:hAnsi="Microsoft YaHei" w:eastAsia="Microsoft YaHei"/>
          <w:b/>
          <w:i w:val="0"/>
          <w:color w:val="1A1A2E"/>
          <w:sz w:val="26"/>
          <w:szCs w:val="26"/>
        </w:rPr>
      </w:r>
    </w:p>
    <w:p>
      <w:r>
        <w:rPr>
          <w:rFonts w:ascii="Microsoft YaHei" w:hAnsi="Microsoft YaHei" w:eastAsia="Microsoft YaHei"/>
          <w:b/>
          <w:color w:val="1976D2"/>
          <w:sz w:val="18"/>
          <w:szCs w:val="18"/>
        </w:rPr>
        <w:t>卡奥斯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1976D2"/>
          <w:sz w:val="18"/>
          <w:szCs w:val="18"/>
        </w:rPr>
        <w:t>工业智能体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1976D2"/>
          <w:sz w:val="18"/>
          <w:szCs w:val="18"/>
        </w:rPr>
        <w:t>新浪财经</w:t>
      </w:r>
    </w:p>
    <w:p>
      <w:pPr>
        <w:shd w:val="clear" w:fill="F0F4FF"/>
      </w:pPr>
      <w:r>
        <w:rPr>
          <w:rFonts w:ascii="Microsoft YaHei" w:hAnsi="Microsoft YaHei" w:eastAsia="Microsoft YaHei"/>
          <w:b/>
          <w:i w:val="0"/>
          <w:color w:val="0D47A1"/>
          <w:sz w:val="20"/>
          <w:szCs w:val="20"/>
        </w:rPr>
        <w:t xml:space="preserve">🏭 运营视角  </w:t>
      </w:r>
      <w:r>
        <w:rPr>
          <w:rFonts w:ascii="Microsoft YaHei" w:hAnsi="Microsoft YaHei" w:eastAsia="Microsoft YaHei"/>
          <w:b w:val="0"/>
          <w:i w:val="0"/>
          <w:color w:val="1A3A5C"/>
          <w:sz w:val="20"/>
          <w:szCs w:val="20"/>
        </w:rPr>
        <w:t>卡奥斯在合肥发布三大产品智擎版（数据底座COSMO-Sphere、智能工厂COSMO-iMOM、绿色低碳方案），首次引入"厂长数字人"作为统一交互入口，可将异常根因定位速度提升65%、整体决策链路效率提升70%。以"数字人+工业智能体集群"模式替代传统单场景交付，已在安徽构建20兆瓦级虚拟电厂，累计提升能源效率20%、减少碳排放15%。</w:t>
      </w:r>
    </w:p>
    <w:p>
      <w:pPr>
        <w:shd w:val="clear" w:fill="F0F8FF"/>
        <w:spacing w:after="80"/>
      </w:pPr>
      <w:r>
        <w:rPr>
          <w:rFonts w:ascii="Microsoft YaHei" w:hAnsi="Microsoft YaHei" w:eastAsia="Microsoft YaHei"/>
          <w:b/>
          <w:i w:val="0"/>
          <w:color w:val="0D47A1"/>
          <w:sz w:val="20"/>
          <w:szCs w:val="20"/>
        </w:rPr>
        <w:t xml:space="preserve">🔬 技术视角  </w:t>
      </w:r>
      <w:r>
        <w:rPr>
          <w:rFonts w:ascii="Microsoft YaHei" w:hAnsi="Microsoft YaHei" w:eastAsia="Microsoft YaHei"/>
          <w:b w:val="0"/>
          <w:i w:val="0"/>
          <w:color w:val="1A3A5C"/>
          <w:sz w:val="20"/>
          <w:szCs w:val="20"/>
        </w:rPr>
        <w:t>依托海尔40余年制造经验，沉淀200余项专家算法和110余款智能体开发工具，落地40+高价值工业智能体（指标定义智能体、柔性换产智能体、设备管理智能体等）。采用"感知→思考→执行→协作→反馈"五环架构，核心底座包括自研能碳大模型和工厂孪生系统，通过对管理者自然语言对话即可调度多智能体协同作业。智能体集群响应国家5月《智能体规范应用与创新发展实施意见》。</w:t>
      </w:r>
    </w:p>
    <w:p>
      <w:r>
        <w:rPr>
          <w:rFonts w:ascii="Microsoft YaHei" w:hAnsi="Microsoft YaHei" w:eastAsia="Microsoft YaHei"/>
          <w:b/>
          <w:i w:val="0"/>
          <w:color w:val="666666"/>
          <w:sz w:val="18"/>
          <w:szCs w:val="18"/>
        </w:rPr>
        <w:t>📊 核心数据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1984"/>
            <w:shd w:fill="F5F7FF" w:val="clear"/>
            <w:tcBorders>
              <w:top w:val="single" w:sz="4" w:color="E4E8F0"/>
              <w:bottom w:val="single" w:sz="4" w:color="E4E8F0"/>
              <w:left w:val="single" w:sz="4" w:color="E4E8F0"/>
              <w:right w:val="single" w:sz="4" w:color="E4E8F0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1A1A2E"/>
                <w:sz w:val="24"/>
                <w:szCs w:val="24"/>
              </w:rPr>
              <w:t>65%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9999"/>
                <w:sz w:val="18"/>
                <w:szCs w:val="18"/>
              </w:rPr>
              <w:t>异常定位速度提升</w:t>
            </w:r>
          </w:p>
        </w:tc>
        <w:tc>
          <w:tcPr>
            <w:tcW w:type="dxa" w:w="1984"/>
            <w:shd w:fill="F5F7FF" w:val="clear"/>
            <w:tcBorders>
              <w:top w:val="single" w:sz="4" w:color="E4E8F0"/>
              <w:bottom w:val="single" w:sz="4" w:color="E4E8F0"/>
              <w:left w:val="single" w:sz="4" w:color="E4E8F0"/>
              <w:right w:val="single" w:sz="4" w:color="E4E8F0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1A1A2E"/>
                <w:sz w:val="24"/>
                <w:szCs w:val="24"/>
              </w:rPr>
              <w:t>70%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9999"/>
                <w:sz w:val="18"/>
                <w:szCs w:val="18"/>
              </w:rPr>
              <w:t>决策链路效率提升</w:t>
            </w:r>
          </w:p>
        </w:tc>
        <w:tc>
          <w:tcPr>
            <w:tcW w:type="dxa" w:w="1984"/>
            <w:shd w:fill="F5F7FF" w:val="clear"/>
            <w:tcBorders>
              <w:top w:val="single" w:sz="4" w:color="E4E8F0"/>
              <w:bottom w:val="single" w:sz="4" w:color="E4E8F0"/>
              <w:left w:val="single" w:sz="4" w:color="E4E8F0"/>
              <w:right w:val="single" w:sz="4" w:color="E4E8F0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1A1A2E"/>
                <w:sz w:val="24"/>
                <w:szCs w:val="24"/>
              </w:rPr>
              <w:t>40+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9999"/>
                <w:sz w:val="18"/>
                <w:szCs w:val="18"/>
              </w:rPr>
              <w:t>高价值智能体</w:t>
            </w:r>
          </w:p>
        </w:tc>
        <w:tc>
          <w:tcPr>
            <w:tcW w:type="dxa" w:w="1984"/>
            <w:shd w:fill="F5F7FF" w:val="clear"/>
            <w:tcBorders>
              <w:top w:val="single" w:sz="4" w:color="E4E8F0"/>
              <w:bottom w:val="single" w:sz="4" w:color="E4E8F0"/>
              <w:left w:val="single" w:sz="4" w:color="E4E8F0"/>
              <w:right w:val="single" w:sz="4" w:color="E4E8F0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1A1A2E"/>
                <w:sz w:val="24"/>
                <w:szCs w:val="24"/>
              </w:rPr>
              <w:t>20%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9999"/>
                <w:sz w:val="18"/>
                <w:szCs w:val="18"/>
              </w:rPr>
              <w:t>能源效率提升</w:t>
            </w:r>
          </w:p>
        </w:tc>
      </w:tr>
    </w:tbl>
    <w:p/>
    <w:p>
      <w:pPr>
        <w:pBdr>
          <w:bottom w:val="single" w:sz="2" w:color="E0E0E0" w:space="1"/>
        </w:pBdr>
      </w:pPr>
    </w:p>
    <w:p>
      <w:pPr>
        <w:spacing w:before="200"/>
      </w:pPr>
      <w:r>
        <w:rPr>
          <w:rFonts w:ascii="Microsoft YaHei" w:hAnsi="Microsoft YaHei" w:eastAsia="Microsoft YaHei"/>
          <w:b/>
          <w:i w:val="0"/>
          <w:color w:val="1565C0"/>
          <w:sz w:val="26"/>
          <w:szCs w:val="26"/>
        </w:rPr>
        <w:t xml:space="preserve">2. </w:t>
      </w:r>
      <w:r>
        <w:rPr>
          <w:rFonts w:ascii="Microsoft YaHei" w:hAnsi="Microsoft YaHei" w:eastAsia="Microsoft YaHei"/>
          <w:b/>
          <w:i w:val="0"/>
          <w:color w:val="1A1A2E"/>
          <w:sz w:val="26"/>
          <w:szCs w:val="26"/>
        </w:rPr>
      </w:r>
    </w:p>
    <w:p>
      <w:r>
        <w:rPr>
          <w:rFonts w:ascii="Microsoft YaHei" w:hAnsi="Microsoft YaHei" w:eastAsia="Microsoft YaHei"/>
          <w:b/>
          <w:color w:val="1976D2"/>
          <w:sz w:val="18"/>
          <w:szCs w:val="18"/>
        </w:rPr>
        <w:t>Festo费斯托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1976D2"/>
          <w:sz w:val="18"/>
          <w:szCs w:val="18"/>
        </w:rPr>
        <w:t>AI预测性维护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1976D2"/>
          <w:sz w:val="18"/>
          <w:szCs w:val="18"/>
        </w:rPr>
        <w:t>中国日报/21IC</w:t>
      </w:r>
    </w:p>
    <w:p>
      <w:pPr>
        <w:shd w:val="clear" w:fill="F0F4FF"/>
      </w:pPr>
      <w:r>
        <w:rPr>
          <w:rFonts w:ascii="Microsoft YaHei" w:hAnsi="Microsoft YaHei" w:eastAsia="Microsoft YaHei"/>
          <w:b/>
          <w:i w:val="0"/>
          <w:color w:val="0D47A1"/>
          <w:sz w:val="20"/>
          <w:szCs w:val="20"/>
        </w:rPr>
        <w:t xml:space="preserve">🏭 运营视角  </w:t>
      </w:r>
      <w:r>
        <w:rPr>
          <w:rFonts w:ascii="Microsoft YaHei" w:hAnsi="Microsoft YaHei" w:eastAsia="Microsoft YaHei"/>
          <w:b w:val="0"/>
          <w:i w:val="0"/>
          <w:color w:val="1A3A5C"/>
          <w:sz w:val="20"/>
          <w:szCs w:val="20"/>
        </w:rPr>
        <w:t>第二届WOD制造业数智化博览会今日在上海新国际博览中心开幕（6/3-5），聚焦电子电气、汽车制造、高端装备、石化、半导体、储能六大制造领域，400余家数智化解决方案企业参展。百年自动化巨头Festo以"拥抱数字变革，智联工业未来"为主题，展出从生产端到教育端的全栈方案，包括即装即用的AI预测性维护软件和数字化学习平台。</w:t>
      </w:r>
    </w:p>
    <w:p>
      <w:pPr>
        <w:shd w:val="clear" w:fill="F0F8FF"/>
        <w:spacing w:after="80"/>
      </w:pPr>
      <w:r>
        <w:rPr>
          <w:rFonts w:ascii="Microsoft YaHei" w:hAnsi="Microsoft YaHei" w:eastAsia="Microsoft YaHei"/>
          <w:b/>
          <w:i w:val="0"/>
          <w:color w:val="0D47A1"/>
          <w:sz w:val="20"/>
          <w:szCs w:val="20"/>
        </w:rPr>
        <w:t xml:space="preserve">🔬 技术视角  </w:t>
      </w:r>
      <w:r>
        <w:rPr>
          <w:rFonts w:ascii="Microsoft YaHei" w:hAnsi="Microsoft YaHei" w:eastAsia="Microsoft YaHei"/>
          <w:b w:val="0"/>
          <w:i w:val="0"/>
          <w:color w:val="1A3A5C"/>
          <w:sz w:val="20"/>
          <w:szCs w:val="20"/>
        </w:rPr>
        <w:t>Festo重点展示Festo AX预测性维护软件、CMMS计算机辅助维护管理系统、FluidDraw/FluidSim数字化设计仿真工具链。其中Festo AX融合物联网、边缘计算与AI分析，覆盖厂务真空和真空发生器场景，关键优势是无需改造现有设备即可通过能耗监测+泄露预测实现预防性维护。Configon产品配置器支持2D/3D环境实时预览，覆盖气动、液压、电气全品类工业元器件。</w:t>
      </w:r>
    </w:p>
    <w:p>
      <w:pPr>
        <w:pBdr>
          <w:bottom w:val="single" w:sz="2" w:color="E0E0E0" w:space="1"/>
        </w:pBdr>
      </w:pPr>
    </w:p>
    <w:p>
      <w:pPr>
        <w:spacing w:before="200"/>
      </w:pPr>
      <w:r>
        <w:rPr>
          <w:rFonts w:ascii="Microsoft YaHei" w:hAnsi="Microsoft YaHei" w:eastAsia="Microsoft YaHei"/>
          <w:b/>
          <w:i w:val="0"/>
          <w:color w:val="1565C0"/>
          <w:sz w:val="26"/>
          <w:szCs w:val="26"/>
        </w:rPr>
        <w:t xml:space="preserve">3. </w:t>
      </w:r>
      <w:r>
        <w:rPr>
          <w:rFonts w:ascii="Microsoft YaHei" w:hAnsi="Microsoft YaHei" w:eastAsia="Microsoft YaHei"/>
          <w:b/>
          <w:i w:val="0"/>
          <w:color w:val="1A1A2E"/>
          <w:sz w:val="26"/>
          <w:szCs w:val="26"/>
        </w:rPr>
      </w:r>
    </w:p>
    <w:p>
      <w:r>
        <w:rPr>
          <w:rFonts w:ascii="Microsoft YaHei" w:hAnsi="Microsoft YaHei" w:eastAsia="Microsoft YaHei"/>
          <w:b/>
          <w:color w:val="1976D2"/>
          <w:sz w:val="18"/>
          <w:szCs w:val="18"/>
        </w:rPr>
        <w:t>英伟达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1976D2"/>
          <w:sz w:val="18"/>
          <w:szCs w:val="18"/>
        </w:rPr>
        <w:t>AI超级芯片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1976D2"/>
          <w:sz w:val="18"/>
          <w:szCs w:val="18"/>
        </w:rPr>
        <w:t>IT之家</w:t>
      </w:r>
    </w:p>
    <w:p>
      <w:pPr>
        <w:shd w:val="clear" w:fill="F0F4FF"/>
      </w:pPr>
      <w:r>
        <w:rPr>
          <w:rFonts w:ascii="Microsoft YaHei" w:hAnsi="Microsoft YaHei" w:eastAsia="Microsoft YaHei"/>
          <w:b/>
          <w:i w:val="0"/>
          <w:color w:val="0D47A1"/>
          <w:sz w:val="20"/>
          <w:szCs w:val="20"/>
        </w:rPr>
        <w:t xml:space="preserve">🏭 运营视角  </w:t>
      </w:r>
      <w:r>
        <w:rPr>
          <w:rFonts w:ascii="Microsoft YaHei" w:hAnsi="Microsoft YaHei" w:eastAsia="Microsoft YaHei"/>
          <w:b w:val="0"/>
          <w:i w:val="0"/>
          <w:color w:val="1A3A5C"/>
          <w:sz w:val="20"/>
          <w:szCs w:val="20"/>
        </w:rPr>
        <w:t>英伟达在Computex 2026主题演讲上宣布，下一代AI超级芯片平台Vera Rubin全面投产。该平台供应链规模是上一代Grace Blackwell的两倍，数百家合作伙伴正在30多个国家的350多家工厂加速生产，预计2026年秋季开始发货。这一量产规模对全球高端制造提出极高要求，从MGX开源设计到全球工厂协同制造，AI芯片正在成为"超级工厂"的核心驱动力。</w:t>
      </w:r>
    </w:p>
    <w:p>
      <w:pPr>
        <w:shd w:val="clear" w:fill="F0F8FF"/>
        <w:spacing w:after="80"/>
      </w:pPr>
      <w:r>
        <w:rPr>
          <w:rFonts w:ascii="Microsoft YaHei" w:hAnsi="Microsoft YaHei" w:eastAsia="Microsoft YaHei"/>
          <w:b/>
          <w:i w:val="0"/>
          <w:color w:val="0D47A1"/>
          <w:sz w:val="20"/>
          <w:szCs w:val="20"/>
        </w:rPr>
        <w:t xml:space="preserve">🔬 技术视角  </w:t>
      </w:r>
      <w:r>
        <w:rPr>
          <w:rFonts w:ascii="Microsoft YaHei" w:hAnsi="Microsoft YaHei" w:eastAsia="Microsoft YaHei"/>
          <w:b w:val="0"/>
          <w:i w:val="0"/>
          <w:color w:val="1A3A5C"/>
          <w:sz w:val="20"/>
          <w:szCs w:val="20"/>
        </w:rPr>
        <w:t>Vera Rubin是英伟达迄今规模最大的POD级平台，由五个专用机架构成完整AI超级计算机：Vera Rubin NVL72系统 + Vera CPU + Groq 3 LPX + BlueField-4 STX存储 + Spectrum-6 SPX以太网。采用成熟开源MGX设计，大规模智能体吞吐量较Grace Blackwell提升10倍，为"下一代AI工厂"提供基础设施级的算力底座，标志着AI芯片从训练/推理二分模式转向智能体工作负载统一平台。</w:t>
      </w:r>
    </w:p>
    <w:p>
      <w:r>
        <w:rPr>
          <w:rFonts w:ascii="Microsoft YaHei" w:hAnsi="Microsoft YaHei" w:eastAsia="Microsoft YaHei"/>
          <w:b/>
          <w:i w:val="0"/>
          <w:color w:val="666666"/>
          <w:sz w:val="18"/>
          <w:szCs w:val="18"/>
        </w:rPr>
        <w:t>📊 核心数据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1984"/>
            <w:shd w:fill="F5F7FF" w:val="clear"/>
            <w:tcBorders>
              <w:top w:val="single" w:sz="4" w:color="E4E8F0"/>
              <w:bottom w:val="single" w:sz="4" w:color="E4E8F0"/>
              <w:left w:val="single" w:sz="4" w:color="E4E8F0"/>
              <w:right w:val="single" w:sz="4" w:color="E4E8F0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1A1A2E"/>
                <w:sz w:val="24"/>
                <w:szCs w:val="24"/>
              </w:rPr>
              <w:t>10x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9999"/>
                <w:sz w:val="18"/>
                <w:szCs w:val="18"/>
              </w:rPr>
              <w:t>智能体吞吐量提升</w:t>
            </w:r>
          </w:p>
        </w:tc>
        <w:tc>
          <w:tcPr>
            <w:tcW w:type="dxa" w:w="1984"/>
            <w:shd w:fill="F5F7FF" w:val="clear"/>
            <w:tcBorders>
              <w:top w:val="single" w:sz="4" w:color="E4E8F0"/>
              <w:bottom w:val="single" w:sz="4" w:color="E4E8F0"/>
              <w:left w:val="single" w:sz="4" w:color="E4E8F0"/>
              <w:right w:val="single" w:sz="4" w:color="E4E8F0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1A1A2E"/>
                <w:sz w:val="24"/>
                <w:szCs w:val="24"/>
              </w:rPr>
              <w:t>2x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9999"/>
                <w:sz w:val="18"/>
                <w:szCs w:val="18"/>
              </w:rPr>
              <w:t>供应链规模扩大</w:t>
            </w:r>
          </w:p>
        </w:tc>
        <w:tc>
          <w:tcPr>
            <w:tcW w:type="dxa" w:w="1984"/>
            <w:shd w:fill="F5F7FF" w:val="clear"/>
            <w:tcBorders>
              <w:top w:val="single" w:sz="4" w:color="E4E8F0"/>
              <w:bottom w:val="single" w:sz="4" w:color="E4E8F0"/>
              <w:left w:val="single" w:sz="4" w:color="E4E8F0"/>
              <w:right w:val="single" w:sz="4" w:color="E4E8F0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1A1A2E"/>
                <w:sz w:val="24"/>
                <w:szCs w:val="24"/>
              </w:rPr>
              <w:t>350+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9999"/>
                <w:sz w:val="18"/>
                <w:szCs w:val="18"/>
              </w:rPr>
              <w:t>全球制造工厂</w:t>
            </w:r>
          </w:p>
        </w:tc>
        <w:tc>
          <w:tcPr>
            <w:tcW w:type="dxa" w:w="1984"/>
            <w:shd w:fill="F5F7FF" w:val="clear"/>
            <w:tcBorders>
              <w:top w:val="single" w:sz="4" w:color="E4E8F0"/>
              <w:bottom w:val="single" w:sz="4" w:color="E4E8F0"/>
              <w:left w:val="single" w:sz="4" w:color="E4E8F0"/>
              <w:right w:val="single" w:sz="4" w:color="E4E8F0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1A1A2E"/>
                <w:sz w:val="24"/>
                <w:szCs w:val="24"/>
              </w:rPr>
              <w:t>30+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9999"/>
                <w:sz w:val="18"/>
                <w:szCs w:val="18"/>
              </w:rPr>
              <w:t>国家/地区协同</w:t>
            </w:r>
          </w:p>
        </w:tc>
      </w:tr>
    </w:tbl>
    <w:p/>
    <w:p>
      <w:pPr>
        <w:pBdr>
          <w:bottom w:val="single" w:sz="2" w:color="E0E0E0" w:space="1"/>
        </w:pBdr>
      </w:pPr>
    </w:p>
    <w:p>
      <w:pPr>
        <w:spacing w:before="200"/>
      </w:pPr>
      <w:r>
        <w:rPr>
          <w:rFonts w:ascii="Microsoft YaHei" w:hAnsi="Microsoft YaHei" w:eastAsia="Microsoft YaHei"/>
          <w:b/>
          <w:i w:val="0"/>
          <w:color w:val="1565C0"/>
          <w:sz w:val="26"/>
          <w:szCs w:val="26"/>
        </w:rPr>
        <w:t xml:space="preserve">4. </w:t>
      </w:r>
      <w:r>
        <w:rPr>
          <w:rFonts w:ascii="Microsoft YaHei" w:hAnsi="Microsoft YaHei" w:eastAsia="Microsoft YaHei"/>
          <w:b/>
          <w:i w:val="0"/>
          <w:color w:val="1A1A2E"/>
          <w:sz w:val="26"/>
          <w:szCs w:val="26"/>
        </w:rPr>
      </w:r>
    </w:p>
    <w:p>
      <w:r>
        <w:rPr>
          <w:rFonts w:ascii="Microsoft YaHei" w:hAnsi="Microsoft YaHei" w:eastAsia="Microsoft YaHei"/>
          <w:b/>
          <w:color w:val="1976D2"/>
          <w:sz w:val="18"/>
          <w:szCs w:val="18"/>
        </w:rPr>
        <w:t>永迦电子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1976D2"/>
          <w:sz w:val="18"/>
          <w:szCs w:val="18"/>
        </w:rPr>
        <w:t>工业AI智能体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1976D2"/>
          <w:sz w:val="18"/>
          <w:szCs w:val="18"/>
        </w:rPr>
        <w:t>深圳新闻网</w:t>
      </w:r>
    </w:p>
    <w:p>
      <w:pPr>
        <w:shd w:val="clear" w:fill="F0F4FF"/>
      </w:pPr>
      <w:r>
        <w:rPr>
          <w:rFonts w:ascii="Microsoft YaHei" w:hAnsi="Microsoft YaHei" w:eastAsia="Microsoft YaHei"/>
          <w:b/>
          <w:i w:val="0"/>
          <w:color w:val="0D47A1"/>
          <w:sz w:val="20"/>
          <w:szCs w:val="20"/>
        </w:rPr>
        <w:t xml:space="preserve">🏭 运营视角  </w:t>
      </w:r>
      <w:r>
        <w:rPr>
          <w:rFonts w:ascii="Microsoft YaHei" w:hAnsi="Microsoft YaHei" w:eastAsia="Microsoft YaHei"/>
          <w:b w:val="0"/>
          <w:i w:val="0"/>
          <w:color w:val="1A3A5C"/>
          <w:sz w:val="20"/>
          <w:szCs w:val="20"/>
        </w:rPr>
        <w:t>深圳永迦电子凭借自研"物料齐套分析智能体"荣获IDC中国工业AI领航者大奖"工业AI智能体创新先锋"称号。该方案主打轻量化、低成本、快落地路径：过去需数小时的物料核算与齐套核对，现在几分钟自动完成。全面落成后预计供应链整体效率提升70%以上，每年可为企业节约综合成本超178万元，精准解决中小制造企业降本、提效、控风险的痛点。</w:t>
      </w:r>
    </w:p>
    <w:p>
      <w:pPr>
        <w:shd w:val="clear" w:fill="F0F8FF"/>
        <w:spacing w:after="80"/>
      </w:pPr>
      <w:r>
        <w:rPr>
          <w:rFonts w:ascii="Microsoft YaHei" w:hAnsi="Microsoft YaHei" w:eastAsia="Microsoft YaHei"/>
          <w:b/>
          <w:i w:val="0"/>
          <w:color w:val="0D47A1"/>
          <w:sz w:val="20"/>
          <w:szCs w:val="20"/>
        </w:rPr>
        <w:t xml:space="preserve">🔬 技术视角  </w:t>
      </w:r>
      <w:r>
        <w:rPr>
          <w:rFonts w:ascii="Microsoft YaHei" w:hAnsi="Microsoft YaHei" w:eastAsia="Microsoft YaHei"/>
          <w:b w:val="0"/>
          <w:i w:val="0"/>
          <w:color w:val="1A3A5C"/>
          <w:sz w:val="20"/>
          <w:szCs w:val="20"/>
        </w:rPr>
        <w:t>IDC围绕技术创新、落地实效、痛点解决、可复制性、商业价值五大维度评审。永迦方案已落地40个场景化智能应用，覆盖产品开发、生产制造、品质管控、仓储物流、财务管理和供应链协同全链路，核心智能体采用"感知-分析-预警-决策"闭环架构。评审权重强调"应用价值与安全可控并重"，代表工业AI智能体从概念验证走向规模化复制的方向。</w:t>
      </w:r>
    </w:p>
    <w:p>
      <w:r>
        <w:rPr>
          <w:rFonts w:ascii="Microsoft YaHei" w:hAnsi="Microsoft YaHei" w:eastAsia="Microsoft YaHei"/>
          <w:b/>
          <w:i w:val="0"/>
          <w:color w:val="666666"/>
          <w:sz w:val="18"/>
          <w:szCs w:val="18"/>
        </w:rPr>
        <w:t>📊 核心数据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1984"/>
            <w:shd w:fill="F5F7FF" w:val="clear"/>
            <w:tcBorders>
              <w:top w:val="single" w:sz="4" w:color="E4E8F0"/>
              <w:bottom w:val="single" w:sz="4" w:color="E4E8F0"/>
              <w:left w:val="single" w:sz="4" w:color="E4E8F0"/>
              <w:right w:val="single" w:sz="4" w:color="E4E8F0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1A1A2E"/>
                <w:sz w:val="24"/>
                <w:szCs w:val="24"/>
              </w:rPr>
              <w:t>70%+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9999"/>
                <w:sz w:val="18"/>
                <w:szCs w:val="18"/>
              </w:rPr>
              <w:t>供应链效率提升</w:t>
            </w:r>
          </w:p>
        </w:tc>
        <w:tc>
          <w:tcPr>
            <w:tcW w:type="dxa" w:w="1984"/>
            <w:shd w:fill="F5F7FF" w:val="clear"/>
            <w:tcBorders>
              <w:top w:val="single" w:sz="4" w:color="E4E8F0"/>
              <w:bottom w:val="single" w:sz="4" w:color="E4E8F0"/>
              <w:left w:val="single" w:sz="4" w:color="E4E8F0"/>
              <w:right w:val="single" w:sz="4" w:color="E4E8F0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1A1A2E"/>
                <w:sz w:val="24"/>
                <w:szCs w:val="24"/>
              </w:rPr>
              <w:t>178万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9999"/>
                <w:sz w:val="18"/>
                <w:szCs w:val="18"/>
              </w:rPr>
              <w:t>年节约综合成本</w:t>
            </w:r>
          </w:p>
        </w:tc>
        <w:tc>
          <w:tcPr>
            <w:tcW w:type="dxa" w:w="1984"/>
            <w:shd w:fill="F5F7FF" w:val="clear"/>
            <w:tcBorders>
              <w:top w:val="single" w:sz="4" w:color="E4E8F0"/>
              <w:bottom w:val="single" w:sz="4" w:color="E4E8F0"/>
              <w:left w:val="single" w:sz="4" w:color="E4E8F0"/>
              <w:right w:val="single" w:sz="4" w:color="E4E8F0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1A1A2E"/>
                <w:sz w:val="24"/>
                <w:szCs w:val="24"/>
              </w:rPr>
              <w:t>40个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9999"/>
                <w:sz w:val="18"/>
                <w:szCs w:val="18"/>
              </w:rPr>
              <w:t>场景化智能应用</w:t>
            </w:r>
          </w:p>
        </w:tc>
        <w:tc>
          <w:tcPr>
            <w:tcW w:type="dxa" w:w="1984"/>
            <w:shd w:fill="F5F7FF" w:val="clear"/>
            <w:tcBorders>
              <w:top w:val="single" w:sz="4" w:color="E4E8F0"/>
              <w:bottom w:val="single" w:sz="4" w:color="E4E8F0"/>
              <w:left w:val="single" w:sz="4" w:color="E4E8F0"/>
              <w:right w:val="single" w:sz="4" w:color="E4E8F0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1A1A2E"/>
                <w:sz w:val="24"/>
                <w:szCs w:val="24"/>
              </w:rPr>
              <w:t>数小时-&gt;分钟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9999"/>
                <w:sz w:val="18"/>
                <w:szCs w:val="18"/>
              </w:rPr>
              <w:t>物料核算提速</w:t>
            </w:r>
          </w:p>
        </w:tc>
      </w:tr>
    </w:tbl>
    <w:p/>
    <w:p>
      <w:pPr>
        <w:pBdr>
          <w:bottom w:val="single" w:sz="2" w:color="E0E0E0" w:space="1"/>
        </w:pBdr>
      </w:pPr>
    </w:p>
    <w:p>
      <w:pPr>
        <w:spacing w:before="200"/>
      </w:pPr>
      <w:r>
        <w:rPr>
          <w:rFonts w:ascii="Microsoft YaHei" w:hAnsi="Microsoft YaHei" w:eastAsia="Microsoft YaHei"/>
          <w:b/>
          <w:i w:val="0"/>
          <w:color w:val="1565C0"/>
          <w:sz w:val="26"/>
          <w:szCs w:val="26"/>
        </w:rPr>
        <w:t xml:space="preserve">5. </w:t>
      </w:r>
      <w:r>
        <w:rPr>
          <w:rFonts w:ascii="Microsoft YaHei" w:hAnsi="Microsoft YaHei" w:eastAsia="Microsoft YaHei"/>
          <w:b/>
          <w:i w:val="0"/>
          <w:color w:val="1A1A2E"/>
          <w:sz w:val="26"/>
          <w:szCs w:val="26"/>
        </w:rPr>
      </w:r>
    </w:p>
    <w:p>
      <w:r>
        <w:rPr>
          <w:rFonts w:ascii="Microsoft YaHei" w:hAnsi="Microsoft YaHei" w:eastAsia="Microsoft YaHei"/>
          <w:b/>
          <w:color w:val="1976D2"/>
          <w:sz w:val="18"/>
          <w:szCs w:val="18"/>
        </w:rPr>
        <w:t>京东方/首钢/双汇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1976D2"/>
          <w:sz w:val="18"/>
          <w:szCs w:val="18"/>
        </w:rPr>
        <w:t>AI智能体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1976D2"/>
          <w:sz w:val="18"/>
          <w:szCs w:val="18"/>
        </w:rPr>
        <w:t>雷锋网</w:t>
      </w:r>
    </w:p>
    <w:p>
      <w:pPr>
        <w:shd w:val="clear" w:fill="F0F4FF"/>
      </w:pPr>
      <w:r>
        <w:rPr>
          <w:rFonts w:ascii="Microsoft YaHei" w:hAnsi="Microsoft YaHei" w:eastAsia="Microsoft YaHei"/>
          <w:b/>
          <w:i w:val="0"/>
          <w:color w:val="0D47A1"/>
          <w:sz w:val="20"/>
          <w:szCs w:val="20"/>
        </w:rPr>
        <w:t xml:space="preserve">🏭 运营视角  </w:t>
      </w:r>
      <w:r>
        <w:rPr>
          <w:rFonts w:ascii="Microsoft YaHei" w:hAnsi="Microsoft YaHei" w:eastAsia="Microsoft YaHei"/>
          <w:b w:val="0"/>
          <w:i w:val="0"/>
          <w:color w:val="1A3A5C"/>
          <w:sz w:val="20"/>
          <w:szCs w:val="20"/>
        </w:rPr>
        <w:t>BCS 2026大会上，由中国互联网协会和中国人工智能产业发展联盟（AIIA）联合发起的"2026中国AI智能体领航者"榜单正式揭晓。100余家企业入选，覆盖政务、金融、能源、制造、农牧等20+行业，数百份案例参评。制造业方面，京东方（智能数据库运营）、首钢（热轧生产AI智能体）、双汇（安全运营智能大脑）等行业龙头在列，入选项目将收录《2026中国智能体产业图谱》。</w:t>
      </w:r>
    </w:p>
    <w:p>
      <w:pPr>
        <w:shd w:val="clear" w:fill="F0F8FF"/>
        <w:spacing w:after="80"/>
      </w:pPr>
      <w:r>
        <w:rPr>
          <w:rFonts w:ascii="Microsoft YaHei" w:hAnsi="Microsoft YaHei" w:eastAsia="Microsoft YaHei"/>
          <w:b/>
          <w:i w:val="0"/>
          <w:color w:val="0D47A1"/>
          <w:sz w:val="20"/>
          <w:szCs w:val="20"/>
        </w:rPr>
        <w:t xml:space="preserve">🔬 技术视角  </w:t>
      </w:r>
      <w:r>
        <w:rPr>
          <w:rFonts w:ascii="Microsoft YaHei" w:hAnsi="Microsoft YaHei" w:eastAsia="Microsoft YaHei"/>
          <w:b w:val="0"/>
          <w:i w:val="0"/>
          <w:color w:val="1A3A5C"/>
          <w:sz w:val="20"/>
          <w:szCs w:val="20"/>
        </w:rPr>
        <w:t>榜单分四大赛道评估：关键能力智能体（安全底座）、组织运营智能体（效率引擎）、行业应用智能体（深入千行百业）、通用方向智能体（基础底座）。评审权重首次"应用成效与安全可控并重"，从技术先进性、应用成效、安全性、可复制性四个维度评估。制造业入选项目呈现"从单点AI应用向多智能体协同"的演进趋势，代表工业智能体规模化部署的元年。</w:t>
      </w:r>
    </w:p>
    <w:p>
      <w:pPr>
        <w:pBdr>
          <w:bottom w:val="single" w:sz="2" w:color="E0E0E0" w:space="1"/>
        </w:pBdr>
      </w:pPr>
    </w:p>
    <w:p>
      <w:pPr>
        <w:spacing w:before="200"/>
      </w:pPr>
      <w:r>
        <w:rPr>
          <w:rFonts w:ascii="Microsoft YaHei" w:hAnsi="Microsoft YaHei" w:eastAsia="Microsoft YaHei"/>
          <w:b/>
          <w:i w:val="0"/>
          <w:color w:val="1565C0"/>
          <w:sz w:val="26"/>
          <w:szCs w:val="26"/>
        </w:rPr>
        <w:t xml:space="preserve">6. </w:t>
      </w:r>
      <w:r>
        <w:rPr>
          <w:rFonts w:ascii="Microsoft YaHei" w:hAnsi="Microsoft YaHei" w:eastAsia="Microsoft YaHei"/>
          <w:b/>
          <w:i w:val="0"/>
          <w:color w:val="1A1A2E"/>
          <w:sz w:val="26"/>
          <w:szCs w:val="26"/>
        </w:rPr>
      </w:r>
    </w:p>
    <w:p>
      <w:r>
        <w:rPr>
          <w:rFonts w:ascii="Microsoft YaHei" w:hAnsi="Microsoft YaHei" w:eastAsia="Microsoft YaHei"/>
          <w:b/>
          <w:color w:val="1976D2"/>
          <w:sz w:val="18"/>
          <w:szCs w:val="18"/>
        </w:rPr>
        <w:t>栖观资讯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1976D2"/>
          <w:sz w:val="18"/>
          <w:szCs w:val="18"/>
        </w:rPr>
        <w:t>数字科技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1976D2"/>
          <w:sz w:val="18"/>
          <w:szCs w:val="18"/>
        </w:rPr>
        <w:t>搜狐/行业媒体</w:t>
      </w:r>
    </w:p>
    <w:p>
      <w:pPr>
        <w:shd w:val="clear" w:fill="F0F4FF"/>
      </w:pPr>
      <w:r>
        <w:rPr>
          <w:rFonts w:ascii="Microsoft YaHei" w:hAnsi="Microsoft YaHei" w:eastAsia="Microsoft YaHei"/>
          <w:b/>
          <w:i w:val="0"/>
          <w:color w:val="0D47A1"/>
          <w:sz w:val="20"/>
          <w:szCs w:val="20"/>
        </w:rPr>
        <w:t xml:space="preserve">🏭 运营视角  </w:t>
      </w:r>
      <w:r>
        <w:rPr>
          <w:rFonts w:ascii="Microsoft YaHei" w:hAnsi="Microsoft YaHei" w:eastAsia="Microsoft YaHei"/>
          <w:b w:val="0"/>
          <w:i w:val="0"/>
          <w:color w:val="1A3A5C"/>
          <w:sz w:val="20"/>
          <w:szCs w:val="20"/>
        </w:rPr>
        <w:t>第十届中国智造数字科技大会（IMC2026）定于6月26日在北京举行，主题"AI赋能·智启新未来"。预计约100位智能制造与机器人行业CIO、IT总监参会，议程聚焦AI大模型应用、数字孪生、供应链数智化、工业质检等核心主题。对制造企业而言，这是了解行业前沿技术落地路径、对标同行智能化水平的窗口机会。</w:t>
      </w:r>
    </w:p>
    <w:p>
      <w:pPr>
        <w:shd w:val="clear" w:fill="F0F8FF"/>
        <w:spacing w:after="80"/>
      </w:pPr>
      <w:r>
        <w:rPr>
          <w:rFonts w:ascii="Microsoft YaHei" w:hAnsi="Microsoft YaHei" w:eastAsia="Microsoft YaHei"/>
          <w:b/>
          <w:i w:val="0"/>
          <w:color w:val="0D47A1"/>
          <w:sz w:val="20"/>
          <w:szCs w:val="20"/>
        </w:rPr>
        <w:t xml:space="preserve">🔬 技术视角  </w:t>
      </w:r>
      <w:r>
        <w:rPr>
          <w:rFonts w:ascii="Microsoft YaHei" w:hAnsi="Microsoft YaHei" w:eastAsia="Microsoft YaHei"/>
          <w:b w:val="0"/>
          <w:i w:val="0"/>
          <w:color w:val="1A3A5C"/>
          <w:sz w:val="20"/>
          <w:szCs w:val="20"/>
        </w:rPr>
        <w:t>上午会场覆盖AI大模型、数字孪生、工业质检等技术方向，下午专场聚焦机器人+智能制造，涵盖人形机器人智能化、工业机器人与AGV融合、数字化工厂建设、智能制造出海合规等议题。大会将展示从"辅助工具"到"决策中枢"的智能制造技术演进路线。</w:t>
      </w:r>
    </w:p>
    <w:p>
      <w:pPr>
        <w:pBdr>
          <w:bottom w:val="single" w:sz="2" w:color="E0E0E0" w:space="1"/>
        </w:pBdr>
      </w:pPr>
    </w:p>
    <w:p>
      <w:pPr>
        <w:spacing w:before="200"/>
      </w:pPr>
      <w:r>
        <w:rPr>
          <w:rFonts w:ascii="Microsoft YaHei" w:hAnsi="Microsoft YaHei" w:eastAsia="Microsoft YaHei"/>
          <w:b/>
          <w:i w:val="0"/>
          <w:color w:val="1565C0"/>
          <w:sz w:val="26"/>
          <w:szCs w:val="26"/>
        </w:rPr>
        <w:t xml:space="preserve">7. </w:t>
      </w:r>
      <w:r>
        <w:rPr>
          <w:rFonts w:ascii="Microsoft YaHei" w:hAnsi="Microsoft YaHei" w:eastAsia="Microsoft YaHei"/>
          <w:b/>
          <w:i w:val="0"/>
          <w:color w:val="1A1A2E"/>
          <w:sz w:val="26"/>
          <w:szCs w:val="26"/>
        </w:rPr>
      </w:r>
    </w:p>
    <w:p>
      <w:r>
        <w:rPr>
          <w:rFonts w:ascii="Microsoft YaHei" w:hAnsi="Microsoft YaHei" w:eastAsia="Microsoft YaHei"/>
          <w:b/>
          <w:color w:val="1976D2"/>
          <w:sz w:val="18"/>
          <w:szCs w:val="18"/>
        </w:rPr>
        <w:t>北京市经信局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1976D2"/>
          <w:sz w:val="18"/>
          <w:szCs w:val="18"/>
        </w:rPr>
        <w:t>智能工厂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1976D2"/>
          <w:sz w:val="18"/>
          <w:szCs w:val="18"/>
        </w:rPr>
        <w:t>北京市经信局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1976D2"/>
          <w:sz w:val="18"/>
          <w:szCs w:val="18"/>
        </w:rPr>
        <w:t>CMMM二级+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2E7D32"/>
          <w:sz w:val="18"/>
          <w:szCs w:val="18"/>
        </w:rPr>
        <w:t>📍 地方政策</w:t>
      </w:r>
    </w:p>
    <w:p>
      <w:pPr>
        <w:shd w:val="clear" w:fill="F0F4FF"/>
      </w:pPr>
      <w:r>
        <w:rPr>
          <w:rFonts w:ascii="Microsoft YaHei" w:hAnsi="Microsoft YaHei" w:eastAsia="Microsoft YaHei"/>
          <w:b/>
          <w:i w:val="0"/>
          <w:color w:val="0D47A1"/>
          <w:sz w:val="20"/>
          <w:szCs w:val="20"/>
        </w:rPr>
        <w:t xml:space="preserve">🏭 运营视角  </w:t>
      </w:r>
      <w:r>
        <w:rPr>
          <w:rFonts w:ascii="Microsoft YaHei" w:hAnsi="Microsoft YaHei" w:eastAsia="Microsoft YaHei"/>
          <w:b w:val="0"/>
          <w:i w:val="0"/>
          <w:color w:val="1A3A5C"/>
          <w:sz w:val="20"/>
          <w:szCs w:val="20"/>
        </w:rPr>
        <w:t>北京市经济和信息化局今日（6/3）发布第二批先进级智能工厂申报通知，申报窗口期为6月3日至7月3日（约一个月）。硬性要求包括：北京市内规模以上工业企业、已认定为基础级智能工厂并备案、关键技术装备安全可控、智能制造能力成熟度（CMMM）评估达GB/T 39116-2020二级及以上。获评先进级是后续申报卓越级和领航级（国家级）的前提条件。</w:t>
      </w:r>
    </w:p>
    <w:p>
      <w:pPr>
        <w:shd w:val="clear" w:fill="F0F8FF"/>
        <w:spacing w:after="80"/>
      </w:pPr>
      <w:r>
        <w:rPr>
          <w:rFonts w:ascii="Microsoft YaHei" w:hAnsi="Microsoft YaHei" w:eastAsia="Microsoft YaHei"/>
          <w:b/>
          <w:i w:val="0"/>
          <w:color w:val="0D47A1"/>
          <w:sz w:val="20"/>
          <w:szCs w:val="20"/>
        </w:rPr>
        <w:t xml:space="preserve">🔬 技术视角  </w:t>
      </w:r>
      <w:r>
        <w:rPr>
          <w:rFonts w:ascii="Microsoft YaHei" w:hAnsi="Microsoft YaHei" w:eastAsia="Microsoft YaHei"/>
          <w:b w:val="0"/>
          <w:i w:val="0"/>
          <w:color w:val="1A3A5C"/>
          <w:sz w:val="20"/>
          <w:szCs w:val="20"/>
        </w:rPr>
        <w:t>申报要求覆盖智能工厂建设的完整维度：需满足《北京市智能工厂认定管理办法》中先进级的建设内容和建设成效要求，涉及关键技术装备、工业软件/操作系统、网络安全等要素。鼓励企业在国家智能制造评估评价公共服务平台（c3mep.cn）填报建设情况，强调区级主管部门应制定梯度培育计划和支持政策配套。</w:t>
      </w:r>
    </w:p>
    <w:p>
      <w:pPr>
        <w:pBdr>
          <w:bottom w:val="single" w:sz="2" w:color="E0E0E0" w:space="1"/>
        </w:pBdr>
      </w:pPr>
    </w:p>
    <w:p>
      <w:pPr>
        <w:spacing w:before="200"/>
      </w:pPr>
      <w:r>
        <w:rPr>
          <w:rFonts w:ascii="Microsoft YaHei" w:hAnsi="Microsoft YaHei" w:eastAsia="Microsoft YaHei"/>
          <w:b/>
          <w:i w:val="0"/>
          <w:color w:val="1565C0"/>
          <w:sz w:val="26"/>
          <w:szCs w:val="26"/>
        </w:rPr>
        <w:t xml:space="preserve">8. </w:t>
      </w:r>
      <w:r>
        <w:rPr>
          <w:rFonts w:ascii="Microsoft YaHei" w:hAnsi="Microsoft YaHei" w:eastAsia="Microsoft YaHei"/>
          <w:b/>
          <w:i w:val="0"/>
          <w:color w:val="1A1A2E"/>
          <w:sz w:val="26"/>
          <w:szCs w:val="26"/>
        </w:rPr>
      </w:r>
    </w:p>
    <w:p>
      <w:r>
        <w:rPr>
          <w:rFonts w:ascii="Microsoft YaHei" w:hAnsi="Microsoft YaHei" w:eastAsia="Microsoft YaHei"/>
          <w:b/>
          <w:color w:val="1976D2"/>
          <w:sz w:val="18"/>
          <w:szCs w:val="18"/>
        </w:rPr>
        <w:t>山东省工信厅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1976D2"/>
          <w:sz w:val="18"/>
          <w:szCs w:val="18"/>
        </w:rPr>
        <w:t>AI+制造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1976D2"/>
          <w:sz w:val="18"/>
          <w:szCs w:val="18"/>
        </w:rPr>
        <w:t>百家号/山东省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2E7D32"/>
          <w:sz w:val="18"/>
          <w:szCs w:val="18"/>
        </w:rPr>
        <w:t>📍 地方政策</w:t>
      </w:r>
    </w:p>
    <w:p>
      <w:pPr>
        <w:shd w:val="clear" w:fill="F0F4FF"/>
      </w:pPr>
      <w:r>
        <w:rPr>
          <w:rFonts w:ascii="Microsoft YaHei" w:hAnsi="Microsoft YaHei" w:eastAsia="Microsoft YaHei"/>
          <w:b/>
          <w:i w:val="0"/>
          <w:color w:val="0D47A1"/>
          <w:sz w:val="20"/>
          <w:szCs w:val="20"/>
        </w:rPr>
        <w:t xml:space="preserve">🏭 运营视角  </w:t>
      </w:r>
      <w:r>
        <w:rPr>
          <w:rFonts w:ascii="Microsoft YaHei" w:hAnsi="Microsoft YaHei" w:eastAsia="Microsoft YaHei"/>
          <w:b w:val="0"/>
          <w:i w:val="0"/>
          <w:color w:val="1A3A5C"/>
          <w:sz w:val="20"/>
          <w:szCs w:val="20"/>
        </w:rPr>
        <w:t>山东省工信厅公示首批"人工智能+制造"先锋应用入库培育清单，全省13个设区市入选（公示至6月4日）。各市立足本土优势产业差异化布局：济南主攻电子信息智造、青岛聚焦轻工制造、烟台发力汽车制造、潍坊瞄准机械装备、日照深耕钢铁数字化、临沂瞄准食品产业等。入选城市将依托政策资源，陆续落地智能化技改项目，实现机器自主巡检、智能排产、精准质检。</w:t>
      </w:r>
    </w:p>
    <w:p>
      <w:pPr>
        <w:shd w:val="clear" w:fill="F0F8FF"/>
        <w:spacing w:after="80"/>
      </w:pPr>
      <w:r>
        <w:rPr>
          <w:rFonts w:ascii="Microsoft YaHei" w:hAnsi="Microsoft YaHei" w:eastAsia="Microsoft YaHei"/>
          <w:b/>
          <w:i w:val="0"/>
          <w:color w:val="0D47A1"/>
          <w:sz w:val="20"/>
          <w:szCs w:val="20"/>
        </w:rPr>
        <w:t xml:space="preserve">🔬 技术视角  </w:t>
      </w:r>
      <w:r>
        <w:rPr>
          <w:rFonts w:ascii="Microsoft YaHei" w:hAnsi="Microsoft YaHei" w:eastAsia="Microsoft YaHei"/>
          <w:b w:val="0"/>
          <w:i w:val="0"/>
          <w:color w:val="1A3A5C"/>
          <w:sz w:val="20"/>
          <w:szCs w:val="20"/>
        </w:rPr>
        <w:t>依据《山东省"人工智能+制造"行动方案（2026-2028年）》实施，经过地市申报、专家评审、线上答辩多轮筛选。"一市一策"模式的核心逻辑是将AI技术与各地传统优势产业的工业场景深度结合，以AI赋能产线巡检、智能排产、质量检测等制造全链条。该模式为省级层面推进AI赋能制造业差异化转型提供了参考范式。</w:t>
      </w:r>
    </w:p>
    <w:p/>
    <w:p>
      <w:pPr>
        <w:shd w:val="clear" w:fill="F0F4FF"/>
      </w:pPr>
      <w:r>
        <w:rPr>
          <w:rFonts w:ascii="Microsoft YaHei" w:hAnsi="Microsoft YaHei" w:eastAsia="Microsoft YaHei"/>
          <w:b/>
          <w:i w:val="0"/>
          <w:color w:val="1A1A2E"/>
          <w:sz w:val="28"/>
          <w:szCs w:val="28"/>
        </w:rPr>
        <w:t>🗺️ 智能制造成熟度进阶路径</w:t>
      </w:r>
    </w:p>
    <w:p>
      <w:pPr>
        <w:shd w:val="clear" w:fill="F0F4FF"/>
        <w:pBdr>
          <w:bottom w:val="single" w:sz="4" w:color="D8D0E8" w:space="1"/>
        </w:pBdr>
      </w:pPr>
      <w:r>
        <w:rPr>
          <w:rFonts w:ascii="Microsoft YaHei" w:hAnsi="Microsoft YaHei" w:eastAsia="Microsoft YaHei"/>
          <w:b w:val="0"/>
          <w:i w:val="0"/>
          <w:color w:val="555555"/>
          <w:sz w:val="20"/>
          <w:szCs w:val="20"/>
        </w:rPr>
        <w:t>L2规范级 → L3集成级(灯塔机会) → L4优化级(灯塔基础) → WEF灯塔(全球标杆)</w:t>
      </w:r>
    </w:p>
    <w:p/>
    <w:p>
      <w:r>
        <w:rPr>
          <w:rFonts w:ascii="Microsoft YaHei" w:hAnsi="Microsoft YaHei" w:eastAsia="Microsoft YaHei"/>
          <w:b/>
          <w:i w:val="0"/>
          <w:color w:val="0D47A1"/>
          <w:sz w:val="28"/>
          <w:szCs w:val="28"/>
        </w:rPr>
        <w:t>🗣️ 今日话题</w:t>
      </w:r>
    </w:p>
    <w:p>
      <w:pPr>
        <w:shd w:val="clear" w:fill="F0F5FF"/>
        <w:pBdr>
          <w:top w:val="single" w:sz="4" w:color="1976D2" w:space="1"/>
        </w:pBdr>
      </w:pPr>
      <w:r>
        <w:rPr>
          <w:rFonts w:ascii="Microsoft YaHei" w:hAnsi="Microsoft YaHei" w:eastAsia="Microsoft YaHei"/>
          <w:b w:val="0"/>
          <w:i w:val="0"/>
          <w:color w:val="555555"/>
          <w:sz w:val="22"/>
          <w:szCs w:val="22"/>
        </w:rPr>
        <w:t>🗣️ 今天聊一聊：卡奥斯推出了"厂长数字人"概念——通过自然语言对话就能调度智能体集群。你觉得这种"说句话就能管工厂"的模式，在你们行业可行吗？或者你们现在的工厂管理流程离这一步还有多远？欢迎留言交流 👇</w:t>
      </w:r>
    </w:p>
    <w:p/>
    <w:p>
      <w:r>
        <w:rPr>
          <w:rFonts w:ascii="Microsoft YaHei" w:hAnsi="Microsoft YaHei" w:eastAsia="Microsoft YaHei"/>
          <w:b/>
          <w:i w:val="0"/>
          <w:color w:val="1A1A2E"/>
          <w:sz w:val="28"/>
          <w:szCs w:val="28"/>
        </w:rPr>
        <w:t>🛠️ 灯塔工具箱</w:t>
      </w:r>
    </w:p>
    <w:p>
      <w:pPr>
        <w:shd w:val="clear" w:fill="FAFBFF"/>
        <w:pBdr>
          <w:left w:val="single" w:sz="12" w:color="#BBDEFB" w:space="1"/>
        </w:pBdr>
      </w:pPr>
      <w:r>
        <w:rPr>
          <w:rFonts w:ascii="Microsoft YaHei" w:hAnsi="Microsoft YaHei" w:eastAsia="Microsoft YaHei"/>
          <w:b/>
          <w:i w:val="0"/>
          <w:color w:val="1A1A2E"/>
          <w:sz w:val="22"/>
          <w:szCs w:val="22"/>
        </w:rPr>
        <w:t xml:space="preserve">📊 灯塔名录  </w:t>
      </w:r>
      <w:r>
        <w:rPr>
          <w:rFonts w:ascii="Microsoft YaHei" w:hAnsi="Microsoft YaHei" w:eastAsia="Microsoft YaHei"/>
          <w:b w:val="0"/>
          <w:i w:val="0"/>
          <w:color w:val="888888"/>
          <w:sz w:val="18"/>
          <w:szCs w:val="18"/>
        </w:rPr>
        <w:t>全球灯塔·9位编码</w:t>
        <w:br/>
        <w:t>行业/地区多维分布</w:t>
      </w:r>
    </w:p>
    <w:p>
      <w:pPr>
        <w:shd w:val="clear" w:fill="FAFBFF"/>
        <w:spacing w:after="80"/>
        <w:pBdr>
          <w:bottom w:val="single" w:sz="2" w:color="#BBDEFB" w:space="1"/>
        </w:pBdr>
      </w:pPr>
      <w:r>
        <w:rPr>
          <w:rFonts w:ascii="Microsoft YaHei" w:hAnsi="Microsoft YaHei" w:eastAsia="Microsoft YaHei"/>
          <w:b/>
          <w:i w:val="0"/>
          <w:color w:val="1565C0"/>
          <w:sz w:val="20"/>
          <w:szCs w:val="20"/>
        </w:rPr>
        <w:t xml:space="preserve">    回复【名录】获取</w:t>
      </w:r>
    </w:p>
    <w:p>
      <w:pPr>
        <w:shd w:val="clear" w:fill="FAFBFF"/>
        <w:pBdr>
          <w:left w:val="single" w:sz="12" w:color="#B2DFDB" w:space="1"/>
        </w:pBdr>
      </w:pPr>
      <w:r>
        <w:rPr>
          <w:rFonts w:ascii="Microsoft YaHei" w:hAnsi="Microsoft YaHei" w:eastAsia="Microsoft YaHei"/>
          <w:b/>
          <w:i w:val="0"/>
          <w:color w:val="1A1A2E"/>
          <w:sz w:val="22"/>
          <w:szCs w:val="22"/>
        </w:rPr>
        <w:t xml:space="preserve">🔍 灯塔案例  </w:t>
      </w:r>
      <w:r>
        <w:rPr>
          <w:rFonts w:ascii="Microsoft YaHei" w:hAnsi="Microsoft YaHei" w:eastAsia="Microsoft YaHei"/>
          <w:b w:val="0"/>
          <w:i w:val="0"/>
          <w:color w:val="888888"/>
          <w:sz w:val="18"/>
          <w:szCs w:val="18"/>
        </w:rPr>
        <w:t>技术路线图·实施路径</w:t>
        <w:br/>
        <w:t>对标分析·关键数据</w:t>
      </w:r>
    </w:p>
    <w:p>
      <w:pPr>
        <w:shd w:val="clear" w:fill="FAFBFF"/>
        <w:spacing w:after="80"/>
        <w:pBdr>
          <w:bottom w:val="single" w:sz="2" w:color="#B2DFDB" w:space="1"/>
        </w:pBdr>
      </w:pPr>
      <w:r>
        <w:rPr>
          <w:rFonts w:ascii="Microsoft YaHei" w:hAnsi="Microsoft YaHei" w:eastAsia="Microsoft YaHei"/>
          <w:b/>
          <w:i w:val="0"/>
          <w:color w:val="1565C0"/>
          <w:sz w:val="20"/>
          <w:szCs w:val="20"/>
        </w:rPr>
        <w:t xml:space="preserve">    回复【分析+企业名】</w:t>
      </w:r>
    </w:p>
    <w:p>
      <w:pPr>
        <w:shd w:val="clear" w:fill="FAFBFF"/>
        <w:pBdr>
          <w:left w:val="single" w:sz="12" w:color="#E1BEE7" w:space="1"/>
        </w:pBdr>
      </w:pPr>
      <w:r>
        <w:rPr>
          <w:rFonts w:ascii="Microsoft YaHei" w:hAnsi="Microsoft YaHei" w:eastAsia="Microsoft YaHei"/>
          <w:b/>
          <w:i w:val="0"/>
          <w:color w:val="1A1A2E"/>
          <w:sz w:val="22"/>
          <w:szCs w:val="22"/>
        </w:rPr>
        <w:t xml:space="preserve">🦞 灯塔虾评  </w:t>
      </w:r>
      <w:r>
        <w:rPr>
          <w:rFonts w:ascii="Microsoft YaHei" w:hAnsi="Microsoft YaHei" w:eastAsia="Microsoft YaHei"/>
          <w:b w:val="0"/>
          <w:i w:val="0"/>
          <w:color w:val="888888"/>
          <w:sz w:val="18"/>
          <w:szCs w:val="18"/>
        </w:rPr>
        <w:t>自助测评·龙虾评分卡</w:t>
        <w:br/>
        <w:t>三维评估·进阶建议</w:t>
      </w:r>
    </w:p>
    <w:p>
      <w:pPr>
        <w:shd w:val="clear" w:fill="FAFBFF"/>
        <w:spacing w:after="80"/>
        <w:pBdr>
          <w:bottom w:val="single" w:sz="2" w:color="#E1BEE7" w:space="1"/>
        </w:pBdr>
      </w:pPr>
      <w:r>
        <w:rPr>
          <w:rFonts w:ascii="Microsoft YaHei" w:hAnsi="Microsoft YaHei" w:eastAsia="Microsoft YaHei"/>
          <w:b/>
          <w:i w:val="0"/>
          <w:color w:val="1565C0"/>
          <w:sz w:val="20"/>
          <w:szCs w:val="20"/>
        </w:rPr>
        <w:t xml:space="preserve">    回复【自测】开始</w:t>
      </w:r>
    </w:p>
    <w:p/>
    <w:p>
      <w:pPr>
        <w:shd w:val="clear" w:fill="EDF2FF"/>
        <w:jc w:val="center"/>
      </w:pPr>
      <w:r>
        <w:rPr>
          <w:rFonts w:ascii="Microsoft YaHei" w:hAnsi="Microsoft YaHei" w:eastAsia="Microsoft YaHei"/>
          <w:b w:val="0"/>
          <w:i w:val="0"/>
          <w:color w:val="1565C0"/>
          <w:sz w:val="20"/>
          <w:szCs w:val="20"/>
        </w:rPr>
        <w:t>👍 觉得有用？点个「赞」  ·  💬 有想法？留言回复  ·  🔄 帮到你了？转发分享  ·  ❤️ 认同内容？推荐给同行</w:t>
      </w:r>
    </w:p>
    <w:p>
      <w:pPr>
        <w:shd w:val="clear" w:fill="EDF2FF"/>
        <w:jc w:val="center"/>
      </w:pPr>
      <w:r>
        <w:rPr>
          <w:rFonts w:ascii="Microsoft YaHei" w:hAnsi="Microsoft YaHei" w:eastAsia="Microsoft YaHei"/>
          <w:b w:val="0"/>
          <w:i w:val="0"/>
          <w:color w:val="90A4AE"/>
          <w:sz w:val="18"/>
          <w:szCs w:val="18"/>
        </w:rPr>
        <w:t>☕ 您的支持是持续产出的动力</w:t>
      </w:r>
    </w:p>
    <w:p/>
    <w:p>
      <w:pPr>
        <w:jc w:val="center"/>
      </w:pPr>
      <w:r>
        <w:rPr>
          <w:rFonts w:ascii="Microsoft YaHei" w:hAnsi="Microsoft YaHei" w:eastAsia="Microsoft YaHei"/>
          <w:b w:val="0"/>
          <w:i w:val="0"/>
          <w:color w:val="999999"/>
          <w:sz w:val="18"/>
          <w:szCs w:val="18"/>
        </w:rPr>
        <w:t>📡 灯塔工厂日报 · 大国智造布道者</w:t>
      </w:r>
    </w:p>
    <w:p>
      <w:pPr>
        <w:jc w:val="center"/>
      </w:pPr>
      <w:r>
        <w:rPr>
          <w:rFonts w:ascii="Microsoft YaHei" w:hAnsi="Microsoft YaHei" w:eastAsia="Microsoft YaHei"/>
          <w:b w:val="0"/>
          <w:i/>
          <w:color w:val="999999"/>
          <w:sz w:val="18"/>
          <w:szCs w:val="18"/>
        </w:rPr>
        <w:t>本内容由生成式AI辅助整理，已标注信息来源，仅供参考。</w:t>
      </w:r>
    </w:p>
    <w:p>
      <w:pPr>
        <w:jc w:val="center"/>
      </w:pPr>
      <w:r>
        <w:rPr>
          <w:rFonts w:ascii="Microsoft YaHei" w:hAnsi="Microsoft YaHei" w:eastAsia="Microsoft YaHei"/>
          <w:b w:val="0"/>
          <w:i w:val="0"/>
          <w:color w:val="BBBBBB"/>
          <w:sz w:val="16"/>
          <w:szCs w:val="16"/>
        </w:rPr>
        <w:t>关键词：卡奥斯、工业智能体、AI预测性维护、IDC工业AI、AI智能体领航者、英伟达Vera Rubin、先进级智能工厂、CMMM、AI+制造培育、数字人厂长</w:t>
      </w:r>
    </w:p>
    <w:p>
      <w:pPr>
        <w:jc w:val="center"/>
      </w:pPr>
      <w:r>
        <w:rPr>
          <w:rFonts w:ascii="Microsoft YaHei" w:hAnsi="Microsoft YaHei" w:eastAsia="Microsoft YaHei"/>
          <w:b w:val="0"/>
          <w:i w:val="0"/>
          <w:color w:val="BBBBBB"/>
          <w:sz w:val="16"/>
          <w:szCs w:val="16"/>
        </w:rPr>
        <w:t>沪ICP备2026015109号 | 沪公网安备 31011702891477号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4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